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E60" w14:textId="77777777" w:rsidR="00D76940" w:rsidRPr="00E06718" w:rsidRDefault="00D76940" w:rsidP="00D76940">
      <w:pPr>
        <w:rPr>
          <w:rFonts w:cstheme="minorHAnsi"/>
          <w:b/>
          <w:sz w:val="24"/>
          <w:szCs w:val="24"/>
        </w:rPr>
      </w:pPr>
    </w:p>
    <w:p w14:paraId="630B573F" w14:textId="689E280F" w:rsidR="007210C2" w:rsidRPr="00E06718" w:rsidRDefault="007210C2" w:rsidP="007210C2">
      <w:pPr>
        <w:rPr>
          <w:rFonts w:cstheme="minorHAnsi"/>
          <w:b/>
          <w:bCs/>
          <w:sz w:val="24"/>
          <w:szCs w:val="24"/>
        </w:rPr>
      </w:pPr>
      <w:r w:rsidRPr="00E06718">
        <w:rPr>
          <w:rFonts w:cstheme="minorHAnsi"/>
          <w:b/>
          <w:bCs/>
          <w:sz w:val="24"/>
          <w:szCs w:val="24"/>
        </w:rPr>
        <w:t>Działanie 09.04 Zwiększenie dostępności usług społecznych i zdrowotnych</w:t>
      </w:r>
      <w:r w:rsidR="00A63986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451F06B2" w14:textId="77777777" w:rsidR="007210C2" w:rsidRPr="00E06718" w:rsidRDefault="007210C2" w:rsidP="007210C2">
      <w:pPr>
        <w:rPr>
          <w:rFonts w:cstheme="minorHAnsi"/>
          <w:bCs/>
          <w:sz w:val="24"/>
          <w:szCs w:val="24"/>
        </w:rPr>
      </w:pPr>
      <w:r w:rsidRPr="00E06718"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5250A957" w14:textId="5BAD25DF" w:rsidR="007210C2" w:rsidRPr="00E06718" w:rsidRDefault="007210C2" w:rsidP="007210C2">
      <w:pPr>
        <w:spacing w:after="240"/>
        <w:rPr>
          <w:rFonts w:cstheme="minorHAnsi"/>
          <w:b/>
          <w:bCs/>
          <w:sz w:val="24"/>
          <w:szCs w:val="24"/>
        </w:rPr>
      </w:pPr>
      <w:r w:rsidRPr="00E06718">
        <w:rPr>
          <w:rFonts w:cstheme="minorHAnsi"/>
          <w:bCs/>
          <w:sz w:val="24"/>
          <w:szCs w:val="24"/>
        </w:rPr>
        <w:t>Cel szczegółowy: ESO4.11.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7B7D3DCD" w14:textId="61FB997B" w:rsidR="007210C2" w:rsidRDefault="007210C2" w:rsidP="007210C2">
      <w:pPr>
        <w:rPr>
          <w:rFonts w:cstheme="minorHAnsi"/>
          <w:bCs/>
          <w:sz w:val="24"/>
          <w:szCs w:val="24"/>
        </w:rPr>
      </w:pPr>
      <w:r w:rsidRPr="00E06718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0C3BF7FA" w14:textId="570EFB68" w:rsidR="00C6347D" w:rsidRPr="001056C1" w:rsidRDefault="00C6347D" w:rsidP="001056C1">
      <w:pPr>
        <w:pStyle w:val="Akapitzlist"/>
        <w:numPr>
          <w:ilvl w:val="0"/>
          <w:numId w:val="25"/>
        </w:numPr>
        <w:spacing w:after="60"/>
        <w:ind w:left="714" w:hanging="357"/>
        <w:contextualSpacing w:val="0"/>
        <w:rPr>
          <w:rFonts w:cstheme="minorHAnsi"/>
          <w:bCs/>
          <w:sz w:val="24"/>
          <w:szCs w:val="24"/>
        </w:rPr>
      </w:pPr>
      <w:r w:rsidRPr="001056C1">
        <w:rPr>
          <w:rFonts w:cstheme="minorHAnsi"/>
          <w:bCs/>
          <w:sz w:val="24"/>
          <w:szCs w:val="24"/>
        </w:rPr>
        <w:t>Podnoszenie kwalifikacji i kompetencji osób związanych ze świadczeniem usług społecznych i/lub zdrowotnych na potrzeby świadczenia usług w społeczności lokalnej, w tym personelu opieki długoterminowej (nie może być realizowany jako samodzielne przedsięwzięcie).</w:t>
      </w:r>
    </w:p>
    <w:p w14:paraId="703D6B11" w14:textId="20556DA9" w:rsidR="00C430EF" w:rsidRPr="00C430EF" w:rsidRDefault="00C430EF" w:rsidP="001056C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C430EF">
        <w:rPr>
          <w:rFonts w:cstheme="minorHAnsi"/>
          <w:sz w:val="24"/>
          <w:szCs w:val="24"/>
        </w:rPr>
        <w:t>Wsparcie Centrów Usług Społecznych przez:</w:t>
      </w:r>
    </w:p>
    <w:p w14:paraId="7F4151D3" w14:textId="77777777" w:rsidR="00C430EF" w:rsidRPr="00C430EF" w:rsidRDefault="00C430EF" w:rsidP="001056C1">
      <w:pPr>
        <w:spacing w:after="0"/>
        <w:ind w:left="709"/>
        <w:rPr>
          <w:rFonts w:cstheme="minorHAnsi"/>
          <w:sz w:val="24"/>
          <w:szCs w:val="24"/>
        </w:rPr>
      </w:pPr>
      <w:r w:rsidRPr="00C430EF">
        <w:rPr>
          <w:rFonts w:cstheme="minorHAnsi"/>
          <w:sz w:val="24"/>
          <w:szCs w:val="24"/>
        </w:rPr>
        <w:t>a) działania skierowane do istniejących CUS;</w:t>
      </w:r>
    </w:p>
    <w:p w14:paraId="71ADAF79" w14:textId="07ED062A" w:rsidR="007210C2" w:rsidRPr="007210C2" w:rsidRDefault="00C430EF" w:rsidP="001056C1">
      <w:pPr>
        <w:ind w:left="709"/>
        <w:rPr>
          <w:rFonts w:ascii="Arial" w:hAnsi="Arial" w:cs="Arial"/>
          <w:b/>
          <w:bCs/>
          <w:sz w:val="28"/>
          <w:szCs w:val="28"/>
        </w:rPr>
      </w:pPr>
      <w:r w:rsidRPr="00C430EF">
        <w:rPr>
          <w:rFonts w:cstheme="minorHAnsi"/>
          <w:sz w:val="24"/>
          <w:szCs w:val="24"/>
        </w:rPr>
        <w:t>b) tworzenie nowych CUS.</w:t>
      </w:r>
    </w:p>
    <w:p w14:paraId="5C617747" w14:textId="364DD233" w:rsidR="00E06033" w:rsidRDefault="000F420F" w:rsidP="002F0E4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C51CC47" w14:textId="77777777" w:rsidR="007210C2" w:rsidRPr="00500ECA" w:rsidRDefault="007210C2" w:rsidP="001056C1">
      <w:pPr>
        <w:rPr>
          <w:b/>
          <w:bCs/>
          <w:sz w:val="24"/>
          <w:szCs w:val="24"/>
        </w:rPr>
      </w:pPr>
      <w:bookmarkStart w:id="0" w:name="_Hlk128645966"/>
      <w:r w:rsidRPr="00500ECA">
        <w:rPr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7210C2" w:rsidRPr="008C4223" w14:paraId="59D678CD" w14:textId="77777777" w:rsidTr="00815361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bookmarkEnd w:id="0"/>
          <w:p w14:paraId="0553460A" w14:textId="77777777" w:rsidR="007210C2" w:rsidRPr="008C4223" w:rsidRDefault="007210C2" w:rsidP="00815361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66B2A8E6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6F067364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6585BC7C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569CD64F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7210C2" w:rsidRPr="008C4223" w14:paraId="081F9899" w14:textId="77777777" w:rsidTr="001068A6">
        <w:trPr>
          <w:trHeight w:val="57"/>
        </w:trPr>
        <w:tc>
          <w:tcPr>
            <w:tcW w:w="567" w:type="dxa"/>
            <w:vAlign w:val="center"/>
          </w:tcPr>
          <w:p w14:paraId="13E54417" w14:textId="77777777" w:rsidR="007210C2" w:rsidRPr="008C4223" w:rsidRDefault="007210C2" w:rsidP="007210C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D71E43F" w14:textId="1A0AE2F9" w:rsidR="007210C2" w:rsidRPr="008C4223" w:rsidRDefault="007210C2" w:rsidP="007210C2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 xml:space="preserve">Maksymalny okres realizacji projektu </w:t>
            </w:r>
            <w:r>
              <w:rPr>
                <w:rFonts w:cstheme="minorHAnsi"/>
                <w:sz w:val="24"/>
                <w:szCs w:val="24"/>
              </w:rPr>
              <w:t xml:space="preserve">dotyczącego wsparcia istniejących Centrów Usług Społecznych </w:t>
            </w:r>
            <w:r w:rsidRPr="00A52D53">
              <w:rPr>
                <w:rFonts w:cstheme="minorHAnsi"/>
                <w:sz w:val="24"/>
                <w:szCs w:val="24"/>
              </w:rPr>
              <w:t xml:space="preserve">wynosi </w:t>
            </w:r>
            <w:r>
              <w:rPr>
                <w:rFonts w:cstheme="minorHAnsi"/>
                <w:sz w:val="24"/>
                <w:szCs w:val="24"/>
              </w:rPr>
              <w:t>24</w:t>
            </w:r>
            <w:r w:rsidRPr="00A52D53">
              <w:rPr>
                <w:rFonts w:cstheme="minorHAnsi"/>
                <w:sz w:val="24"/>
                <w:szCs w:val="24"/>
              </w:rPr>
              <w:t xml:space="preserve"> miesi</w:t>
            </w:r>
            <w:r>
              <w:rPr>
                <w:rFonts w:cstheme="minorHAnsi"/>
                <w:sz w:val="24"/>
                <w:szCs w:val="24"/>
              </w:rPr>
              <w:t>ące</w:t>
            </w:r>
            <w:r w:rsidRPr="00A52D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750E771F" w14:textId="75BDC21D" w:rsidR="007210C2" w:rsidRPr="00A52D53" w:rsidRDefault="007210C2" w:rsidP="007210C2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jeżeli Wnioskodawca wskaże daty rozpoczęcia i zakończenia projektu, których przedział będzie wynosił maksymalnie </w:t>
            </w:r>
            <w:r>
              <w:rPr>
                <w:rFonts w:cstheme="minorHAnsi"/>
                <w:color w:val="000000"/>
                <w:sz w:val="24"/>
                <w:szCs w:val="24"/>
              </w:rPr>
              <w:t>24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 miesi</w:t>
            </w:r>
            <w:r>
              <w:rPr>
                <w:rFonts w:cstheme="minorHAnsi"/>
                <w:color w:val="000000"/>
                <w:sz w:val="24"/>
                <w:szCs w:val="24"/>
              </w:rPr>
              <w:t>ące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6FCDE11" w14:textId="40EFE377" w:rsidR="007210C2" w:rsidRPr="00A52D53" w:rsidRDefault="007210C2" w:rsidP="007210C2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Okres </w:t>
            </w:r>
            <w:r>
              <w:rPr>
                <w:rFonts w:cstheme="minorHAnsi"/>
                <w:color w:val="000000"/>
                <w:sz w:val="24"/>
                <w:szCs w:val="24"/>
              </w:rPr>
              <w:t>24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378D145E" w14:textId="77777777" w:rsidR="00683291" w:rsidRPr="00683291" w:rsidRDefault="00683291" w:rsidP="00683291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83291">
              <w:rPr>
                <w:rFonts w:cstheme="minorHAnsi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6F60C8E1" w14:textId="471748AD" w:rsidR="007210C2" w:rsidRPr="008C4223" w:rsidRDefault="007210C2" w:rsidP="007210C2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08E17356" w14:textId="77777777" w:rsidR="007210C2" w:rsidRPr="008C4223" w:rsidRDefault="007210C2" w:rsidP="007210C2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78DBA6F3" w14:textId="77777777" w:rsidR="00703905" w:rsidRPr="00703905" w:rsidRDefault="00703905" w:rsidP="0070390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03905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4C125EEB" w14:textId="77777777" w:rsidR="007210C2" w:rsidRPr="008C4223" w:rsidRDefault="007210C2" w:rsidP="007210C2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D02B71" w14:textId="3461FB51" w:rsidR="007210C2" w:rsidRPr="008C4223" w:rsidRDefault="00C6347D" w:rsidP="007210C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2, </w:t>
            </w:r>
            <w:r w:rsidR="005120C9"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</w:t>
            </w:r>
          </w:p>
        </w:tc>
      </w:tr>
      <w:tr w:rsidR="007210C2" w:rsidRPr="008C4223" w14:paraId="3FA93569" w14:textId="77777777" w:rsidTr="00815361">
        <w:trPr>
          <w:trHeight w:val="57"/>
        </w:trPr>
        <w:tc>
          <w:tcPr>
            <w:tcW w:w="567" w:type="dxa"/>
            <w:vAlign w:val="center"/>
          </w:tcPr>
          <w:p w14:paraId="3F2DD383" w14:textId="77777777" w:rsidR="007210C2" w:rsidRPr="008C4223" w:rsidRDefault="007210C2" w:rsidP="007210C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C182FB1" w14:textId="1300BDF2" w:rsidR="007210C2" w:rsidRPr="008C4223" w:rsidRDefault="007210C2" w:rsidP="0081536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 xml:space="preserve">Maksymalny okres realizacji projektu </w:t>
            </w:r>
            <w:r>
              <w:rPr>
                <w:rFonts w:cstheme="minorHAnsi"/>
                <w:sz w:val="24"/>
                <w:szCs w:val="24"/>
              </w:rPr>
              <w:t xml:space="preserve">dotyczącego utworzenia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Centrum Usług Społecznych </w:t>
            </w:r>
            <w:r w:rsidRPr="00A52D53">
              <w:rPr>
                <w:rFonts w:cstheme="minorHAnsi"/>
                <w:sz w:val="24"/>
                <w:szCs w:val="24"/>
              </w:rPr>
              <w:t xml:space="preserve">wynosi </w:t>
            </w:r>
            <w:r>
              <w:rPr>
                <w:rFonts w:cstheme="minorHAnsi"/>
                <w:sz w:val="24"/>
                <w:szCs w:val="24"/>
              </w:rPr>
              <w:t>36</w:t>
            </w:r>
            <w:r w:rsidRPr="00A52D53">
              <w:rPr>
                <w:rFonts w:cstheme="minorHAnsi"/>
                <w:sz w:val="24"/>
                <w:szCs w:val="24"/>
              </w:rPr>
              <w:t xml:space="preserve"> miesi</w:t>
            </w:r>
            <w:r>
              <w:rPr>
                <w:rFonts w:cstheme="minorHAnsi"/>
                <w:sz w:val="24"/>
                <w:szCs w:val="24"/>
              </w:rPr>
              <w:t>ęcy</w:t>
            </w:r>
            <w:r w:rsidRPr="00A52D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26EA70BE" w14:textId="47743934" w:rsidR="007210C2" w:rsidRPr="00A52D53" w:rsidRDefault="007210C2" w:rsidP="00815361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Kryterium zostanie spełnione, jeżeli Wnioskodawca wskaże daty rozpoczęcia i zakończenia projektu,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których przedział będzie wynosił maksymalnie </w:t>
            </w:r>
            <w:r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 miesi</w:t>
            </w:r>
            <w:r>
              <w:rPr>
                <w:rFonts w:cstheme="minorHAnsi"/>
                <w:color w:val="000000"/>
                <w:sz w:val="24"/>
                <w:szCs w:val="24"/>
              </w:rPr>
              <w:t>ęcy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AF401E4" w14:textId="071BE07F" w:rsidR="007210C2" w:rsidRPr="00A52D53" w:rsidRDefault="007210C2" w:rsidP="00815361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Okres </w:t>
            </w:r>
            <w:r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DF94BA3" w14:textId="77777777" w:rsidR="007210C2" w:rsidRPr="00A52D53" w:rsidRDefault="007210C2" w:rsidP="00815361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W przypadku niezgodności podanego okresu realizacji projektu z inną częścią wniosku, w której zawarto informację o okresie realizacji projektu, ION wezwie Wnioskodawcę do udzielenia wyjaśnień.</w:t>
            </w:r>
          </w:p>
          <w:p w14:paraId="6FD794D0" w14:textId="77777777" w:rsidR="007210C2" w:rsidRPr="007477E7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6AA6A066" w14:textId="77777777" w:rsidR="007210C2" w:rsidRPr="0064355B" w:rsidRDefault="007210C2" w:rsidP="001056C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Ocena spełnienia kryterium polega na przypisaniu mu </w:t>
            </w: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wartości logicznej TAK/NIE/DO POPRAWY/ UZUPEŁNIENIA na etapie negocjacji.</w:t>
            </w:r>
          </w:p>
          <w:p w14:paraId="156461B1" w14:textId="77777777" w:rsidR="007210C2" w:rsidRPr="0064355B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470487B6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D724BD" w14:textId="1312DAB4" w:rsidR="007210C2" w:rsidRPr="00734846" w:rsidRDefault="00C6347D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2, </w:t>
            </w:r>
            <w:r w:rsidR="005120C9"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b</w:t>
            </w:r>
          </w:p>
        </w:tc>
      </w:tr>
      <w:tr w:rsidR="005120C9" w:rsidRPr="008C4223" w14:paraId="03FE0C5F" w14:textId="77777777" w:rsidTr="00815361">
        <w:trPr>
          <w:trHeight w:val="57"/>
        </w:trPr>
        <w:tc>
          <w:tcPr>
            <w:tcW w:w="567" w:type="dxa"/>
            <w:vAlign w:val="center"/>
          </w:tcPr>
          <w:p w14:paraId="6C3EBEED" w14:textId="77777777" w:rsidR="005120C9" w:rsidRPr="008C4223" w:rsidRDefault="005120C9" w:rsidP="007210C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E2F7FA9" w14:textId="1025C89C" w:rsidR="005120C9" w:rsidRPr="00A52D53" w:rsidRDefault="005120C9" w:rsidP="00815361">
            <w:pPr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Wnioskodawcą jest jednostka samorządu terytorialnego</w:t>
            </w:r>
            <w:r w:rsidR="000E7111">
              <w:rPr>
                <w:rFonts w:cstheme="minorHAnsi"/>
                <w:sz w:val="24"/>
                <w:szCs w:val="24"/>
              </w:rPr>
              <w:t xml:space="preserve"> woj. świętokrzyskiego</w:t>
            </w:r>
            <w:r>
              <w:rPr>
                <w:rFonts w:cstheme="minorHAnsi"/>
                <w:sz w:val="24"/>
                <w:szCs w:val="24"/>
              </w:rPr>
              <w:t xml:space="preserve"> - gmina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0D26AA4D" w14:textId="479A7449" w:rsidR="00A233A5" w:rsidRDefault="005120C9" w:rsidP="00E926C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Kryterium zostanie uznane za spełnione, gdy Wnioskodawcą będzie jednostka samorządu terytorialnego</w:t>
            </w:r>
            <w:r w:rsidR="000E7111">
              <w:rPr>
                <w:rFonts w:cstheme="minorHAnsi"/>
                <w:color w:val="000000"/>
                <w:sz w:val="24"/>
                <w:szCs w:val="24"/>
              </w:rPr>
              <w:t xml:space="preserve"> woj. świętokrzyskiego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gmina.  </w:t>
            </w:r>
          </w:p>
          <w:p w14:paraId="3F415016" w14:textId="5EBC7097" w:rsidR="00B65CB9" w:rsidRPr="00A52D53" w:rsidRDefault="00B65CB9" w:rsidP="00E926C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65CB9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3A9C72F8" w14:textId="77777777" w:rsidR="00E926C3" w:rsidRPr="00E926C3" w:rsidRDefault="00E926C3" w:rsidP="00E926C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6C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07B46EC" w14:textId="77777777" w:rsidR="005120C9" w:rsidRDefault="00E926C3" w:rsidP="00E926C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6C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</w:p>
          <w:p w14:paraId="47AA1FBA" w14:textId="0616DDF6" w:rsidR="00703905" w:rsidRPr="0064355B" w:rsidRDefault="00703905" w:rsidP="00E926C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03905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64900433" w14:textId="6021C451" w:rsidR="005120C9" w:rsidRDefault="002F0E49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  <w:tr w:rsidR="007210C2" w:rsidRPr="008C4223" w14:paraId="4398CA6D" w14:textId="77777777" w:rsidTr="00815361">
        <w:trPr>
          <w:trHeight w:val="57"/>
        </w:trPr>
        <w:tc>
          <w:tcPr>
            <w:tcW w:w="567" w:type="dxa"/>
            <w:vAlign w:val="center"/>
          </w:tcPr>
          <w:p w14:paraId="5972D350" w14:textId="77777777" w:rsidR="007210C2" w:rsidRPr="008C4223" w:rsidRDefault="007210C2" w:rsidP="007210C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521798F" w14:textId="0C1309AF" w:rsidR="007210C2" w:rsidRPr="008C4223" w:rsidRDefault="003E2E6A" w:rsidP="0081536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Wnioskodawca zapewnia, że CUS koordynuje usługi społeczne i zdrowotne. </w:t>
            </w:r>
          </w:p>
        </w:tc>
        <w:tc>
          <w:tcPr>
            <w:tcW w:w="5416" w:type="dxa"/>
          </w:tcPr>
          <w:p w14:paraId="7E0CAEF5" w14:textId="77777777" w:rsidR="007210C2" w:rsidRDefault="003E2E6A" w:rsidP="003E2E6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E2E6A">
              <w:rPr>
                <w:rFonts w:eastAsia="Times New Roman" w:cstheme="minorHAnsi"/>
                <w:sz w:val="24"/>
                <w:szCs w:val="24"/>
              </w:rPr>
              <w:t>Kryterium zostanie uznane za spełnione, gdy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Wnioskodawca zaplanuje we wniosku o dofinansowanie projektu koordynację usług społecznych i zdrowotnych w przypadku, gdy obie kategorie usług są oferowane w CUS. </w:t>
            </w:r>
          </w:p>
          <w:p w14:paraId="144BFD5B" w14:textId="5EDC61C6" w:rsidR="003E2E6A" w:rsidRPr="007477E7" w:rsidRDefault="003E2E6A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E2E6A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28A9FF4A" w14:textId="3DAE5817" w:rsidR="007210C2" w:rsidRDefault="007210C2" w:rsidP="001056C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 DO POPRAWY/ UZUPEŁNIENIA na etapie negocjacji.</w:t>
            </w:r>
          </w:p>
          <w:p w14:paraId="1CB37AD9" w14:textId="2E18B48F" w:rsidR="007210C2" w:rsidRPr="008C4223" w:rsidRDefault="00703905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03905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2C7C9CD1" w14:textId="76056E0C" w:rsidR="007210C2" w:rsidRPr="00734846" w:rsidRDefault="002F0E49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  <w:tr w:rsidR="007210C2" w:rsidRPr="008C4223" w14:paraId="531C9327" w14:textId="77777777" w:rsidTr="00815361">
        <w:trPr>
          <w:trHeight w:val="57"/>
        </w:trPr>
        <w:tc>
          <w:tcPr>
            <w:tcW w:w="567" w:type="dxa"/>
            <w:vAlign w:val="center"/>
          </w:tcPr>
          <w:p w14:paraId="6D842E8F" w14:textId="77777777" w:rsidR="007210C2" w:rsidRPr="008C4223" w:rsidRDefault="007210C2" w:rsidP="007210C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FB0E80" w14:textId="77777777" w:rsidR="007210C2" w:rsidRPr="00E075FE" w:rsidRDefault="007210C2" w:rsidP="001056C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Projekt przewiduje preferencje uczestnictwa jednej lub kilku z wymienionych poniżej grup: </w:t>
            </w:r>
          </w:p>
          <w:p w14:paraId="7468035D" w14:textId="77777777" w:rsidR="007210C2" w:rsidRDefault="007210C2" w:rsidP="001056C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o znacznym lub umiarkowanym stopniu niepełnosprawności;</w:t>
            </w:r>
          </w:p>
          <w:p w14:paraId="5555EFD6" w14:textId="77777777" w:rsidR="007210C2" w:rsidRDefault="007210C2" w:rsidP="001056C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sprzężoną,</w:t>
            </w:r>
          </w:p>
          <w:p w14:paraId="5CDEC89F" w14:textId="25387A23" w:rsidR="007210C2" w:rsidRDefault="007210C2" w:rsidP="001056C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osoby z </w:t>
            </w:r>
            <w:r w:rsidR="000302E4">
              <w:rPr>
                <w:rFonts w:eastAsia="Times New Roman" w:cstheme="minorHAnsi"/>
                <w:sz w:val="24"/>
                <w:szCs w:val="24"/>
              </w:rPr>
              <w:t>chorobami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 psychicznymi, </w:t>
            </w:r>
          </w:p>
          <w:p w14:paraId="69C35A78" w14:textId="77777777" w:rsidR="007210C2" w:rsidRDefault="007210C2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intelektualną,</w:t>
            </w:r>
          </w:p>
          <w:p w14:paraId="06729E37" w14:textId="3B404660" w:rsidR="007210C2" w:rsidRDefault="007210C2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osoby z całościowymi zaburzeniami rozwojowymi (w rozumieniu zgodnym z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>Międzynarodową Klasyfikacją Chorób i Problemów Zdrowotnych</w:t>
            </w:r>
            <w:r w:rsidR="000302E4">
              <w:rPr>
                <w:rFonts w:eastAsia="Times New Roman" w:cstheme="minorHAnsi"/>
                <w:sz w:val="24"/>
                <w:szCs w:val="24"/>
              </w:rPr>
              <w:t xml:space="preserve"> ICD 10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>);</w:t>
            </w:r>
          </w:p>
          <w:p w14:paraId="762C57AE" w14:textId="77777777" w:rsidR="007210C2" w:rsidRDefault="007210C2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korzystające z programu FE PŻ;</w:t>
            </w:r>
          </w:p>
          <w:p w14:paraId="6DF1EF50" w14:textId="77777777" w:rsidR="007210C2" w:rsidRDefault="007210C2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osoby zamieszkujące samotnie</w:t>
            </w:r>
            <w:r w:rsidR="000302E4"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6DBB1048" w14:textId="77777777" w:rsidR="000302E4" w:rsidRDefault="000302E4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osoby w kryzysie bezdomności;</w:t>
            </w:r>
          </w:p>
          <w:p w14:paraId="1E2C94CA" w14:textId="448C2996" w:rsidR="000302E4" w:rsidRPr="007653CF" w:rsidRDefault="000302E4" w:rsidP="00D60B6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dzieci wychowujące się poza rodziną biologiczną.</w:t>
            </w:r>
          </w:p>
        </w:tc>
        <w:tc>
          <w:tcPr>
            <w:tcW w:w="5416" w:type="dxa"/>
            <w:shd w:val="clear" w:color="auto" w:fill="auto"/>
          </w:tcPr>
          <w:p w14:paraId="2F54D67C" w14:textId="77777777" w:rsidR="007210C2" w:rsidRPr="00E075FE" w:rsidRDefault="007210C2" w:rsidP="0081536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gdy w treści wniosku o dofinansowanie zostanie wykazane w jaki sposób osoby z wymienionych w kryterium grup będą preferowane do udziału w projekcie. Osoby te muszą być rekrutowane w pierwszej kolejności, co musi zostać odzwierciedlone w procedurze rekrutacji, w szczególności w kryteriach rekrutacji uczestników do projektu. </w:t>
            </w:r>
          </w:p>
          <w:p w14:paraId="64B5295D" w14:textId="77777777" w:rsidR="007210C2" w:rsidRPr="00E075FE" w:rsidRDefault="007210C2" w:rsidP="00815361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500B838" w14:textId="77777777" w:rsidR="007210C2" w:rsidRPr="008C4223" w:rsidRDefault="007210C2" w:rsidP="00815361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60DEBA81" w14:textId="0CB7F608" w:rsidR="007210C2" w:rsidRDefault="007210C2" w:rsidP="002F0E4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 DO POPRAWY/ UZUPEŁNIENIA na etapie negocjacji.</w:t>
            </w:r>
          </w:p>
          <w:p w14:paraId="738333C4" w14:textId="77777777" w:rsidR="002F0E49" w:rsidRPr="002F0E49" w:rsidRDefault="002F0E49" w:rsidP="002F0E4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F0E49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08663D44" w14:textId="77777777" w:rsidR="002F0E49" w:rsidRPr="008C4223" w:rsidRDefault="002F0E49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BA5BEAE" w14:textId="77777777" w:rsidR="007210C2" w:rsidRPr="008C4223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090EE8F" w14:textId="52594154" w:rsidR="007210C2" w:rsidRPr="008C4223" w:rsidRDefault="002F0E49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</w:tbl>
    <w:p w14:paraId="3DD5E851" w14:textId="523E4ACF" w:rsidR="007210C2" w:rsidRDefault="007210C2">
      <w:pPr>
        <w:rPr>
          <w:b/>
          <w:sz w:val="36"/>
          <w:szCs w:val="36"/>
        </w:rPr>
      </w:pPr>
    </w:p>
    <w:p w14:paraId="43F2BF2C" w14:textId="2014FE02" w:rsidR="007210C2" w:rsidRPr="00500ECA" w:rsidRDefault="007210C2" w:rsidP="001056C1">
      <w:pPr>
        <w:rPr>
          <w:b/>
          <w:bCs/>
          <w:sz w:val="24"/>
          <w:szCs w:val="24"/>
        </w:rPr>
      </w:pPr>
      <w:r w:rsidRPr="00500ECA">
        <w:rPr>
          <w:b/>
          <w:bCs/>
          <w:sz w:val="24"/>
          <w:szCs w:val="24"/>
        </w:rPr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7210C2" w:rsidRPr="007653CF" w14:paraId="075E1D1E" w14:textId="77777777" w:rsidTr="00815361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108696EE" w14:textId="77777777" w:rsidR="007210C2" w:rsidRPr="007653CF" w:rsidRDefault="007210C2" w:rsidP="00815361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1658EA40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6C1F5F28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0A926D6E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2E7CDE04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7210C2" w:rsidRPr="007653CF" w14:paraId="0C9D19A3" w14:textId="77777777" w:rsidTr="00815361">
        <w:trPr>
          <w:trHeight w:val="57"/>
        </w:trPr>
        <w:tc>
          <w:tcPr>
            <w:tcW w:w="567" w:type="dxa"/>
            <w:vAlign w:val="center"/>
          </w:tcPr>
          <w:p w14:paraId="7AB3CA79" w14:textId="77777777" w:rsidR="007210C2" w:rsidRPr="007653CF" w:rsidRDefault="007210C2" w:rsidP="00815361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6B716D" w14:textId="77777777" w:rsidR="007210C2" w:rsidRPr="007653CF" w:rsidRDefault="007210C2" w:rsidP="0081536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F51C1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</w:t>
            </w:r>
            <w:r w:rsidRPr="007653CF">
              <w:rPr>
                <w:rFonts w:cstheme="minorHAnsi"/>
                <w:sz w:val="24"/>
                <w:szCs w:val="24"/>
              </w:rPr>
              <w:t xml:space="preserve"> Interwencji, które uczą się, pracują lub zamieszkują w rozumieniu ustawy Kodeks cywilny na </w:t>
            </w:r>
            <w:r w:rsidRPr="007653CF">
              <w:rPr>
                <w:rFonts w:cstheme="minorHAnsi"/>
                <w:sz w:val="24"/>
                <w:szCs w:val="24"/>
              </w:rPr>
              <w:lastRenderedPageBreak/>
              <w:t>obszarach OSI, a w przypadku podmiotów – posiadają siedzibę, filię, delegaturę, oddział czy inną jednostkę organizacyjną na obszarach OSI.</w:t>
            </w:r>
          </w:p>
        </w:tc>
        <w:tc>
          <w:tcPr>
            <w:tcW w:w="5416" w:type="dxa"/>
          </w:tcPr>
          <w:p w14:paraId="5AEB4AF9" w14:textId="77777777" w:rsidR="007210C2" w:rsidRPr="007653CF" w:rsidRDefault="007210C2" w:rsidP="008153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 jeżeli 100% grupy docelowej będą stanowiły osoby/podmioty z Obszaru Strategicznej Interwencji. </w:t>
            </w:r>
          </w:p>
          <w:p w14:paraId="0FA80D46" w14:textId="77777777" w:rsidR="007210C2" w:rsidRPr="007653CF" w:rsidRDefault="007210C2" w:rsidP="008153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7653CF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1"/>
            </w:r>
            <w:r w:rsidRPr="007653CF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3D11EF9A" w14:textId="77777777" w:rsidR="007210C2" w:rsidRPr="007653CF" w:rsidRDefault="007210C2" w:rsidP="00815361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7421B11F" w14:textId="77777777" w:rsidR="007210C2" w:rsidRPr="007653CF" w:rsidRDefault="007210C2" w:rsidP="00815361">
            <w:pPr>
              <w:numPr>
                <w:ilvl w:val="0"/>
                <w:numId w:val="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4B94EBB8" w14:textId="77777777" w:rsidR="007210C2" w:rsidRPr="007653CF" w:rsidRDefault="007210C2" w:rsidP="00815361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2B23DC9E" w14:textId="77777777" w:rsidR="007210C2" w:rsidRPr="007653CF" w:rsidRDefault="007210C2" w:rsidP="00815361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19D36D05" w14:textId="77777777" w:rsidR="007210C2" w:rsidRPr="007653CF" w:rsidRDefault="007210C2" w:rsidP="00815361">
            <w:pPr>
              <w:numPr>
                <w:ilvl w:val="0"/>
                <w:numId w:val="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5F0A2791" w14:textId="77777777" w:rsidR="007210C2" w:rsidRPr="007653CF" w:rsidRDefault="007210C2" w:rsidP="00815361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Kielecki Obszar Funkcjonalny: miasto Kielce; gminy: Chęciny, Chmielnik, Daleszyce, Morawica, Pierzchnica, Górno, Masłów, </w:t>
            </w: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Miedziana Góra, Piekoszów, Sitkówka- Nowiny, Strawczyn, Zagnańsk.</w:t>
            </w:r>
          </w:p>
          <w:p w14:paraId="239CBBD8" w14:textId="77777777" w:rsidR="007210C2" w:rsidRPr="007653CF" w:rsidRDefault="007210C2" w:rsidP="00815361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4EDF22F6" w14:textId="77777777" w:rsidR="007210C2" w:rsidRPr="007653CF" w:rsidRDefault="007210C2" w:rsidP="00815361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614D1ADF" w14:textId="77777777" w:rsidR="007210C2" w:rsidRPr="007653CF" w:rsidRDefault="007210C2" w:rsidP="00815361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660CBF3E" w14:textId="77777777" w:rsidR="007210C2" w:rsidRPr="007653CF" w:rsidRDefault="007210C2" w:rsidP="00815361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12118C63" w14:textId="77777777" w:rsidR="007210C2" w:rsidRPr="007653CF" w:rsidRDefault="007210C2" w:rsidP="00815361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464363CB" w14:textId="77777777" w:rsidR="007210C2" w:rsidRPr="007653CF" w:rsidRDefault="007210C2" w:rsidP="00815361">
            <w:pPr>
              <w:numPr>
                <w:ilvl w:val="0"/>
                <w:numId w:val="18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MOF Sandomierza: miasto: Sandomierz; gminy wiejskie: Obrazów, Samborzec, Wilczyce, Dwikozy.</w:t>
            </w:r>
          </w:p>
          <w:p w14:paraId="22583492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2CE58601" w14:textId="77777777" w:rsidR="007210C2" w:rsidRPr="007653CF" w:rsidRDefault="007210C2" w:rsidP="0081536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C529A58" w14:textId="77777777" w:rsidR="007210C2" w:rsidRPr="007653CF" w:rsidRDefault="007210C2" w:rsidP="0081536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konieczne do przyznania dofinansowania (tj. przyznanie 0 punktów nie </w:t>
            </w:r>
            <w:r w:rsidRPr="007653CF">
              <w:rPr>
                <w:rFonts w:cstheme="minorHAnsi"/>
                <w:sz w:val="24"/>
                <w:szCs w:val="24"/>
              </w:rPr>
              <w:t xml:space="preserve">dyskwalifikuje z możliwości uzyskania dofinansowania). </w:t>
            </w:r>
          </w:p>
          <w:p w14:paraId="07F814D6" w14:textId="77777777" w:rsidR="007210C2" w:rsidRPr="007653CF" w:rsidRDefault="007210C2" w:rsidP="008153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3441AC0" w14:textId="7D603E95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="002F0E4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6C31CC0" w14:textId="77777777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3632EC42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A9E7937" w14:textId="349CD455" w:rsidR="007210C2" w:rsidRPr="007653CF" w:rsidRDefault="00C6347D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2, </w:t>
            </w:r>
            <w:r w:rsidR="00516E7C"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  <w:tr w:rsidR="007210C2" w:rsidRPr="007653CF" w14:paraId="510F879C" w14:textId="77777777" w:rsidTr="00815361">
        <w:trPr>
          <w:trHeight w:val="57"/>
        </w:trPr>
        <w:tc>
          <w:tcPr>
            <w:tcW w:w="567" w:type="dxa"/>
            <w:vAlign w:val="center"/>
          </w:tcPr>
          <w:p w14:paraId="01ED2FDA" w14:textId="77777777" w:rsidR="007210C2" w:rsidRPr="007653CF" w:rsidRDefault="007210C2" w:rsidP="00815361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516310" w14:textId="05366C9D" w:rsidR="007210C2" w:rsidRPr="007653CF" w:rsidRDefault="007210C2" w:rsidP="0081536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57597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37A05" w:rsidRPr="00337A05">
              <w:rPr>
                <w:rFonts w:eastAsia="Times New Roman" w:cstheme="minorHAnsi"/>
                <w:sz w:val="24"/>
                <w:szCs w:val="24"/>
              </w:rPr>
              <w:t>dla minimum 50% uczestników projektu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64521E60" w14:textId="79507BDF" w:rsidR="007210C2" w:rsidRPr="007653CF" w:rsidRDefault="007210C2" w:rsidP="00815361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577B3C" w:rsidRPr="00577B3C">
              <w:rPr>
                <w:rFonts w:eastAsia="Times New Roman" w:cstheme="minorHAnsi"/>
                <w:bCs/>
                <w:sz w:val="24"/>
                <w:szCs w:val="24"/>
              </w:rPr>
              <w:t xml:space="preserve">co najmniej 50%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B22683">
              <w:rPr>
                <w:rFonts w:eastAsia="Times New Roman" w:cstheme="minorHAnsi"/>
                <w:sz w:val="24"/>
                <w:szCs w:val="24"/>
              </w:rPr>
              <w:t>: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płeć, rasę, orientację seksualną, </w:t>
            </w:r>
            <w:r w:rsidR="00B22683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B22683">
              <w:rPr>
                <w:rFonts w:eastAsia="Times New Roman" w:cstheme="minorHAnsi"/>
                <w:sz w:val="24"/>
                <w:szCs w:val="24"/>
              </w:rPr>
              <w:t>a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3D64373D" w14:textId="77777777" w:rsidR="007210C2" w:rsidRPr="007653CF" w:rsidRDefault="007210C2" w:rsidP="0081536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  <w:p w14:paraId="48A806B6" w14:textId="380C097D" w:rsidR="007210C2" w:rsidRPr="007653CF" w:rsidRDefault="007210C2" w:rsidP="00815361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1164F01" w14:textId="77777777" w:rsidR="007210C2" w:rsidRPr="007653CF" w:rsidRDefault="007210C2" w:rsidP="0081536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FE1BFDD" w14:textId="77777777" w:rsidR="007210C2" w:rsidRPr="007653CF" w:rsidRDefault="007210C2" w:rsidP="00815361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7653CF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28A6DB6" w14:textId="77777777" w:rsidR="007210C2" w:rsidRPr="007653CF" w:rsidRDefault="007210C2" w:rsidP="008153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639F8C4C" w14:textId="77777777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AD62DC0" w14:textId="77777777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05A61F68" w14:textId="3F836400" w:rsidR="007210C2" w:rsidRPr="007653CF" w:rsidRDefault="00C6347D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2, </w:t>
            </w:r>
            <w:r w:rsidR="00516E7C"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  <w:tr w:rsidR="007210C2" w:rsidRPr="007653CF" w14:paraId="6D8083F3" w14:textId="77777777" w:rsidTr="00815361">
        <w:trPr>
          <w:trHeight w:val="57"/>
        </w:trPr>
        <w:tc>
          <w:tcPr>
            <w:tcW w:w="567" w:type="dxa"/>
            <w:vAlign w:val="center"/>
          </w:tcPr>
          <w:p w14:paraId="5BD259AA" w14:textId="77777777" w:rsidR="007210C2" w:rsidRPr="007653CF" w:rsidRDefault="007210C2" w:rsidP="00815361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C6C179" w14:textId="77777777" w:rsidR="007210C2" w:rsidRPr="007653CF" w:rsidRDefault="007210C2" w:rsidP="0081536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416" w:type="dxa"/>
          </w:tcPr>
          <w:p w14:paraId="76F91C51" w14:textId="77777777" w:rsidR="007210C2" w:rsidRPr="007653CF" w:rsidRDefault="007210C2" w:rsidP="0081536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7653CF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2"/>
            </w:r>
            <w:r w:rsidRPr="007653CF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4DC035B4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61D911FB" w14:textId="77777777" w:rsidR="007210C2" w:rsidRPr="007653CF" w:rsidRDefault="007210C2" w:rsidP="007210C2">
            <w:pPr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5F93B0FC" w14:textId="77777777" w:rsidR="007210C2" w:rsidRPr="007653CF" w:rsidRDefault="007210C2" w:rsidP="007210C2">
            <w:pPr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3FF9957A" w14:textId="77777777" w:rsidR="007210C2" w:rsidRPr="007653CF" w:rsidRDefault="007210C2" w:rsidP="007210C2">
            <w:pPr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ułatwienie realizacji kolejnego (komplementarnego) przedsięwzięcia;</w:t>
            </w:r>
          </w:p>
          <w:p w14:paraId="64E852AB" w14:textId="77777777" w:rsidR="007210C2" w:rsidRPr="007653CF" w:rsidRDefault="007210C2" w:rsidP="007210C2">
            <w:pPr>
              <w:numPr>
                <w:ilvl w:val="0"/>
                <w:numId w:val="21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3FB852CC" w14:textId="77777777" w:rsidR="007210C2" w:rsidRPr="007653CF" w:rsidRDefault="007210C2" w:rsidP="007210C2">
            <w:pPr>
              <w:numPr>
                <w:ilvl w:val="0"/>
                <w:numId w:val="2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1D4D2C6F" w14:textId="77777777" w:rsidR="007210C2" w:rsidRPr="007653CF" w:rsidRDefault="007210C2" w:rsidP="007210C2">
            <w:pPr>
              <w:numPr>
                <w:ilvl w:val="0"/>
                <w:numId w:val="22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34AE6D60" w14:textId="77777777" w:rsidR="007210C2" w:rsidRPr="007653CF" w:rsidRDefault="007210C2" w:rsidP="00815361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22A6C78E" w14:textId="77777777" w:rsidR="007210C2" w:rsidRPr="007653CF" w:rsidRDefault="007210C2" w:rsidP="0081536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3425798" w14:textId="77777777" w:rsidR="007210C2" w:rsidRPr="007653CF" w:rsidRDefault="007210C2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53274739" w14:textId="77777777" w:rsidR="007210C2" w:rsidRPr="007653CF" w:rsidRDefault="007210C2" w:rsidP="008153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4E429DA" w14:textId="77777777" w:rsidR="007210C2" w:rsidRPr="007653CF" w:rsidRDefault="007210C2" w:rsidP="00815361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6026695C" w14:textId="77777777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CA4CE1B" w14:textId="77777777" w:rsidR="007210C2" w:rsidRPr="007653CF" w:rsidRDefault="007210C2" w:rsidP="00815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1983B9ED" w14:textId="6C693834" w:rsidR="007210C2" w:rsidRPr="007653CF" w:rsidRDefault="00C6347D" w:rsidP="0081536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2, </w:t>
            </w:r>
            <w:r w:rsidR="00516E7C">
              <w:rPr>
                <w:rFonts w:eastAsia="Times New Roman" w:cstheme="minorHAnsi"/>
                <w:sz w:val="24"/>
                <w:szCs w:val="24"/>
              </w:rPr>
              <w:t>3</w:t>
            </w:r>
            <w:r w:rsidR="0005422B">
              <w:rPr>
                <w:rFonts w:eastAsia="Times New Roman" w:cstheme="minorHAnsi"/>
                <w:sz w:val="24"/>
                <w:szCs w:val="24"/>
              </w:rPr>
              <w:t>a, 3b</w:t>
            </w:r>
          </w:p>
        </w:tc>
      </w:tr>
    </w:tbl>
    <w:p w14:paraId="60615749" w14:textId="77777777" w:rsidR="007210C2" w:rsidRPr="007210C2" w:rsidRDefault="007210C2" w:rsidP="007210C2">
      <w:pPr>
        <w:rPr>
          <w:b/>
          <w:bCs/>
          <w:sz w:val="28"/>
          <w:szCs w:val="28"/>
        </w:rPr>
      </w:pPr>
    </w:p>
    <w:p w14:paraId="3AC8C9CE" w14:textId="77777777" w:rsidR="007210C2" w:rsidRDefault="007210C2">
      <w:pPr>
        <w:rPr>
          <w:b/>
          <w:sz w:val="36"/>
          <w:szCs w:val="36"/>
        </w:rPr>
      </w:pPr>
    </w:p>
    <w:sectPr w:rsidR="007210C2" w:rsidSect="00D0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221" w14:textId="77777777" w:rsidR="00D0320F" w:rsidRDefault="00D03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8C66" w14:textId="77777777" w:rsidR="00D0320F" w:rsidRDefault="00D032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CFAD" w14:textId="77777777" w:rsidR="00D0320F" w:rsidRDefault="00D03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708F3D0D" w14:textId="77777777" w:rsidR="007210C2" w:rsidRDefault="007210C2" w:rsidP="007210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2">
    <w:p w14:paraId="42262225" w14:textId="77777777" w:rsidR="007210C2" w:rsidRPr="00445FB3" w:rsidRDefault="007210C2" w:rsidP="007210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4BF8BA2F" w14:textId="77777777" w:rsidR="007210C2" w:rsidRDefault="007210C2" w:rsidP="007210C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3210" w14:textId="77777777" w:rsidR="00D0320F" w:rsidRDefault="00D03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B6C4" w14:textId="77777777" w:rsidR="00D0320F" w:rsidRDefault="00D03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B386" w14:textId="4E12E43E" w:rsidR="00D0320F" w:rsidRDefault="00D0320F" w:rsidP="00D0320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AECE6" wp14:editId="14EF0D3F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936520C"/>
    <w:multiLevelType w:val="hybridMultilevel"/>
    <w:tmpl w:val="E1D06F6E"/>
    <w:lvl w:ilvl="0" w:tplc="3AC6489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82962"/>
    <w:multiLevelType w:val="hybridMultilevel"/>
    <w:tmpl w:val="B516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6813"/>
    <w:multiLevelType w:val="hybridMultilevel"/>
    <w:tmpl w:val="A0EE3326"/>
    <w:lvl w:ilvl="0" w:tplc="6638FB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010"/>
    <w:multiLevelType w:val="hybridMultilevel"/>
    <w:tmpl w:val="CA3259D4"/>
    <w:lvl w:ilvl="0" w:tplc="0E94AF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7436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3B59"/>
    <w:multiLevelType w:val="hybridMultilevel"/>
    <w:tmpl w:val="1CE85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7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8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3089">
    <w:abstractNumId w:val="3"/>
  </w:num>
  <w:num w:numId="2" w16cid:durableId="747190814">
    <w:abstractNumId w:val="5"/>
  </w:num>
  <w:num w:numId="3" w16cid:durableId="731731039">
    <w:abstractNumId w:val="22"/>
  </w:num>
  <w:num w:numId="4" w16cid:durableId="2089575175">
    <w:abstractNumId w:val="17"/>
  </w:num>
  <w:num w:numId="5" w16cid:durableId="1171331900">
    <w:abstractNumId w:val="11"/>
  </w:num>
  <w:num w:numId="6" w16cid:durableId="1305814104">
    <w:abstractNumId w:val="1"/>
  </w:num>
  <w:num w:numId="7" w16cid:durableId="1329282558">
    <w:abstractNumId w:val="18"/>
  </w:num>
  <w:num w:numId="8" w16cid:durableId="154952193">
    <w:abstractNumId w:val="24"/>
  </w:num>
  <w:num w:numId="9" w16cid:durableId="756370810">
    <w:abstractNumId w:val="4"/>
  </w:num>
  <w:num w:numId="10" w16cid:durableId="1119489798">
    <w:abstractNumId w:val="9"/>
  </w:num>
  <w:num w:numId="11" w16cid:durableId="226115288">
    <w:abstractNumId w:val="10"/>
  </w:num>
  <w:num w:numId="12" w16cid:durableId="1613512112">
    <w:abstractNumId w:val="14"/>
  </w:num>
  <w:num w:numId="13" w16cid:durableId="1612318200">
    <w:abstractNumId w:val="20"/>
  </w:num>
  <w:num w:numId="14" w16cid:durableId="2032024690">
    <w:abstractNumId w:val="8"/>
  </w:num>
  <w:num w:numId="15" w16cid:durableId="664940503">
    <w:abstractNumId w:val="13"/>
  </w:num>
  <w:num w:numId="16" w16cid:durableId="160432745">
    <w:abstractNumId w:val="0"/>
  </w:num>
  <w:num w:numId="17" w16cid:durableId="114714388">
    <w:abstractNumId w:val="12"/>
  </w:num>
  <w:num w:numId="18" w16cid:durableId="853346873">
    <w:abstractNumId w:val="21"/>
  </w:num>
  <w:num w:numId="19" w16cid:durableId="1535003944">
    <w:abstractNumId w:val="16"/>
  </w:num>
  <w:num w:numId="20" w16cid:durableId="867452881">
    <w:abstractNumId w:val="19"/>
  </w:num>
  <w:num w:numId="21" w16cid:durableId="1700466122">
    <w:abstractNumId w:val="2"/>
  </w:num>
  <w:num w:numId="22" w16cid:durableId="456145102">
    <w:abstractNumId w:val="23"/>
  </w:num>
  <w:num w:numId="23" w16cid:durableId="628559241">
    <w:abstractNumId w:val="6"/>
  </w:num>
  <w:num w:numId="24" w16cid:durableId="699353584">
    <w:abstractNumId w:val="15"/>
  </w:num>
  <w:num w:numId="25" w16cid:durableId="524104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302E4"/>
    <w:rsid w:val="000530E2"/>
    <w:rsid w:val="0005422B"/>
    <w:rsid w:val="00085902"/>
    <w:rsid w:val="000B0CBF"/>
    <w:rsid w:val="000B37B8"/>
    <w:rsid w:val="000B3F8E"/>
    <w:rsid w:val="000E7111"/>
    <w:rsid w:val="000F420F"/>
    <w:rsid w:val="001056C1"/>
    <w:rsid w:val="00136843"/>
    <w:rsid w:val="00173217"/>
    <w:rsid w:val="00175BC6"/>
    <w:rsid w:val="00187D9A"/>
    <w:rsid w:val="00187F3E"/>
    <w:rsid w:val="001D1DBF"/>
    <w:rsid w:val="00221363"/>
    <w:rsid w:val="00233B25"/>
    <w:rsid w:val="0024564C"/>
    <w:rsid w:val="002E734C"/>
    <w:rsid w:val="002F0E49"/>
    <w:rsid w:val="003069A5"/>
    <w:rsid w:val="003123A6"/>
    <w:rsid w:val="00315160"/>
    <w:rsid w:val="00317613"/>
    <w:rsid w:val="00330474"/>
    <w:rsid w:val="00337A05"/>
    <w:rsid w:val="003414A2"/>
    <w:rsid w:val="00341F07"/>
    <w:rsid w:val="003B5473"/>
    <w:rsid w:val="003B6E5B"/>
    <w:rsid w:val="003C0918"/>
    <w:rsid w:val="003E2E6A"/>
    <w:rsid w:val="003E3AC3"/>
    <w:rsid w:val="003E5181"/>
    <w:rsid w:val="00431DF6"/>
    <w:rsid w:val="004324CB"/>
    <w:rsid w:val="00445810"/>
    <w:rsid w:val="004573EE"/>
    <w:rsid w:val="004A1F69"/>
    <w:rsid w:val="004A6027"/>
    <w:rsid w:val="00500ECA"/>
    <w:rsid w:val="005120C9"/>
    <w:rsid w:val="00516E7C"/>
    <w:rsid w:val="00565233"/>
    <w:rsid w:val="0057597B"/>
    <w:rsid w:val="00577B3C"/>
    <w:rsid w:val="00587E77"/>
    <w:rsid w:val="00592BA5"/>
    <w:rsid w:val="0060610D"/>
    <w:rsid w:val="00610FF2"/>
    <w:rsid w:val="00615190"/>
    <w:rsid w:val="006441BB"/>
    <w:rsid w:val="00677FA6"/>
    <w:rsid w:val="00683073"/>
    <w:rsid w:val="00683291"/>
    <w:rsid w:val="006E4773"/>
    <w:rsid w:val="006F0371"/>
    <w:rsid w:val="00703905"/>
    <w:rsid w:val="007210C2"/>
    <w:rsid w:val="00774F09"/>
    <w:rsid w:val="00816729"/>
    <w:rsid w:val="00835F1D"/>
    <w:rsid w:val="008629FD"/>
    <w:rsid w:val="008C7FE2"/>
    <w:rsid w:val="008D0926"/>
    <w:rsid w:val="008F37C0"/>
    <w:rsid w:val="008F5A36"/>
    <w:rsid w:val="009140B1"/>
    <w:rsid w:val="009873EF"/>
    <w:rsid w:val="00997EDF"/>
    <w:rsid w:val="009D0AED"/>
    <w:rsid w:val="009E448E"/>
    <w:rsid w:val="00A22897"/>
    <w:rsid w:val="00A233A5"/>
    <w:rsid w:val="00A33754"/>
    <w:rsid w:val="00A51A70"/>
    <w:rsid w:val="00A60608"/>
    <w:rsid w:val="00A63986"/>
    <w:rsid w:val="00A90437"/>
    <w:rsid w:val="00AB49B2"/>
    <w:rsid w:val="00AF5EFA"/>
    <w:rsid w:val="00B00EFA"/>
    <w:rsid w:val="00B212BD"/>
    <w:rsid w:val="00B22683"/>
    <w:rsid w:val="00B35309"/>
    <w:rsid w:val="00B65CB9"/>
    <w:rsid w:val="00B66C58"/>
    <w:rsid w:val="00BC2196"/>
    <w:rsid w:val="00C228A8"/>
    <w:rsid w:val="00C24E01"/>
    <w:rsid w:val="00C430EF"/>
    <w:rsid w:val="00C6347D"/>
    <w:rsid w:val="00C76BA2"/>
    <w:rsid w:val="00C76FF2"/>
    <w:rsid w:val="00CE7117"/>
    <w:rsid w:val="00CF12EA"/>
    <w:rsid w:val="00D0320F"/>
    <w:rsid w:val="00D0758B"/>
    <w:rsid w:val="00D16813"/>
    <w:rsid w:val="00D312B8"/>
    <w:rsid w:val="00D60B69"/>
    <w:rsid w:val="00D76940"/>
    <w:rsid w:val="00D8541F"/>
    <w:rsid w:val="00D91C40"/>
    <w:rsid w:val="00DA6FDB"/>
    <w:rsid w:val="00DC0586"/>
    <w:rsid w:val="00DD48D3"/>
    <w:rsid w:val="00DE1FCC"/>
    <w:rsid w:val="00DF51C1"/>
    <w:rsid w:val="00DF72DC"/>
    <w:rsid w:val="00E02BA4"/>
    <w:rsid w:val="00E06033"/>
    <w:rsid w:val="00E06718"/>
    <w:rsid w:val="00E37986"/>
    <w:rsid w:val="00E45397"/>
    <w:rsid w:val="00E926C3"/>
    <w:rsid w:val="00EE08A4"/>
    <w:rsid w:val="00EE6B16"/>
    <w:rsid w:val="00F11FC8"/>
    <w:rsid w:val="00F51337"/>
    <w:rsid w:val="00F716BC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7210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0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AE8B-D5FF-4274-9A7B-3B369E4D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48</cp:revision>
  <cp:lastPrinted>2021-01-13T07:42:00Z</cp:lastPrinted>
  <dcterms:created xsi:type="dcterms:W3CDTF">2021-01-27T12:51:00Z</dcterms:created>
  <dcterms:modified xsi:type="dcterms:W3CDTF">2023-03-30T06:16:00Z</dcterms:modified>
</cp:coreProperties>
</file>