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3BB2" w14:textId="2E7891BB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14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48AC7906" w14:textId="5BCA800F" w:rsidR="0052665F" w:rsidRPr="006159B3" w:rsidRDefault="00E95477" w:rsidP="00E95477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Poniżej przedstawiono p</w:t>
            </w:r>
            <w:r w:rsidR="006159B3" w:rsidRPr="006159B3">
              <w:rPr>
                <w:rFonts w:asciiTheme="minorHAnsi" w:hAnsiTheme="minorHAnsi" w:cstheme="minorHAnsi"/>
                <w:b/>
                <w:bCs/>
                <w:sz w:val="20"/>
              </w:rPr>
              <w:t>rzykłady ustaleń dla poszczególnych typów projektów wynikające z Analizy DNSH</w:t>
            </w:r>
            <w:r w:rsidR="006159B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8E09AC8" w14:textId="52ECF65F" w:rsidR="00F72DCC" w:rsidRPr="00E95477" w:rsidRDefault="0052665F" w:rsidP="00E95477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w przypadku budowy i modernizacji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infrastruktury dla ruchu niezmotoryzowanego, w tym dróg rowerowych oraz ciągów pieszo-rowerowych ten typ projektów 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>oceniony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został jako wspierający cel związany ze zmianami klimatu o współczynniku 100% i jako taki uzna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ny </w:t>
            </w:r>
            <w:r w:rsidR="001912A5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został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 zgodny z zasadą „nie czyń poważnych szkód".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W związku z powyższym w </w:t>
            </w:r>
            <w:r w:rsidR="00E95477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przypadku tego rodzaju projektów w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polu tekstowym należy powołać się na powyższy dokument 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i w</w:t>
            </w:r>
            <w:r w:rsidR="00BD7DA3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uzasadnieniu wpisać, że ten typ projektów </w:t>
            </w:r>
            <w:r w:rsidR="00584AE4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uznany został za zgodny z zasadą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DNSH.</w:t>
            </w:r>
          </w:p>
          <w:p w14:paraId="40310B89" w14:textId="77777777" w:rsidR="00CA35D7" w:rsidRPr="00BD7DA3" w:rsidRDefault="00CA35D7" w:rsidP="00CA35D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lastRenderedPageBreak/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proofErr w:type="gramStart"/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</w:r>
      <w:proofErr w:type="gramEnd"/>
      <w:r w:rsidRPr="00B7603C">
        <w:rPr>
          <w:rFonts w:ascii="Calibri" w:hAnsi="Calibri"/>
          <w:sz w:val="20"/>
        </w:rPr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</w:t>
            </w:r>
            <w:proofErr w:type="gramStart"/>
            <w:r w:rsidR="00942FC8" w:rsidRPr="00942FC8">
              <w:rPr>
                <w:rFonts w:ascii="Calibri" w:hAnsi="Calibri" w:cs="Arial"/>
                <w:bCs/>
                <w:sz w:val="20"/>
              </w:rPr>
              <w:t>: .</w:t>
            </w:r>
            <w:proofErr w:type="gramEnd"/>
          </w:p>
          <w:p w14:paraId="5EFC24B1" w14:textId="34189BA0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2020 r. poz. 1219 z późn. zm.);</w:t>
            </w:r>
          </w:p>
          <w:p w14:paraId="19F20C7A" w14:textId="617C9F0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16 kwietnia 2004 r. o ochronie przyrody (Dz.U. z 2021 r. poz. 1098 z późn.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</w:t>
            </w:r>
            <w:proofErr w:type="gramStart"/>
            <w:r w:rsidRPr="00942FC8">
              <w:rPr>
                <w:rFonts w:ascii="Calibri" w:hAnsi="Calibri" w:cs="Arial"/>
                <w:bCs/>
                <w:sz w:val="20"/>
              </w:rPr>
              <w:t>Ares(</w:t>
            </w:r>
            <w:proofErr w:type="gramEnd"/>
            <w:r w:rsidRPr="00942FC8">
              <w:rPr>
                <w:rFonts w:ascii="Calibri" w:hAnsi="Calibri" w:cs="Arial"/>
                <w:bCs/>
                <w:sz w:val="20"/>
              </w:rPr>
              <w:t>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C51B5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C51B5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C51B5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>(dyrektywa 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11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Wieczorek, Magdalena</cp:lastModifiedBy>
  <cp:revision>16</cp:revision>
  <cp:lastPrinted>2023-04-06T12:11:00Z</cp:lastPrinted>
  <dcterms:created xsi:type="dcterms:W3CDTF">2023-06-26T12:33:00Z</dcterms:created>
  <dcterms:modified xsi:type="dcterms:W3CDTF">2023-08-14T08:31:00Z</dcterms:modified>
</cp:coreProperties>
</file>