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BC81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AC5391D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6E96F55" w14:textId="73AE8F88" w:rsidR="007556F1" w:rsidRDefault="00635B4F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Załącznik nr I do regulaminu - Szczegółowe warunki realizacji przedsięwzięć</w:t>
      </w:r>
    </w:p>
    <w:p w14:paraId="0FAD597D" w14:textId="77777777" w:rsidR="009E644F" w:rsidRPr="005049B5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45D5251" w14:textId="277A6680" w:rsidR="005B14FD" w:rsidRPr="005049B5" w:rsidRDefault="00BE5BCB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Przedstawione poniżej szczegółowe warunki realizacji przedsięwzięć są niezbędne do przyjęcia projektu do dofinansowania i wynikają z zasad określonych w Wytycznych dotyczących realizacji projektów z udziałem środków Europejskiego Funduszu Społecznego Plus w regionalnych programach na lata 2021–2027 i musz</w:t>
      </w:r>
      <w:r w:rsidR="003809D4">
        <w:rPr>
          <w:rFonts w:ascii="Tahoma" w:hAnsi="Tahoma" w:cs="Tahoma"/>
          <w:sz w:val="24"/>
          <w:szCs w:val="24"/>
        </w:rPr>
        <w:t>ą</w:t>
      </w:r>
      <w:r w:rsidRPr="005049B5">
        <w:rPr>
          <w:rFonts w:ascii="Tahoma" w:hAnsi="Tahoma" w:cs="Tahoma"/>
          <w:sz w:val="24"/>
          <w:szCs w:val="24"/>
        </w:rPr>
        <w:t xml:space="preserve"> zostać uwzględnione w treści wniosku o dofinansowanie i podlegać będą ocenie. </w:t>
      </w:r>
      <w:r w:rsidR="00516B12" w:rsidRPr="00516B12">
        <w:rPr>
          <w:rFonts w:ascii="Tahoma" w:hAnsi="Tahoma" w:cs="Tahoma"/>
          <w:sz w:val="24"/>
          <w:szCs w:val="24"/>
        </w:rPr>
        <w:t xml:space="preserve">Projekty niespełniające </w:t>
      </w:r>
      <w:r w:rsidR="00516B12">
        <w:rPr>
          <w:rFonts w:ascii="Tahoma" w:hAnsi="Tahoma" w:cs="Tahoma"/>
          <w:sz w:val="24"/>
          <w:szCs w:val="24"/>
        </w:rPr>
        <w:t>poniższych</w:t>
      </w:r>
      <w:r w:rsidR="00516B12" w:rsidRPr="00516B12">
        <w:rPr>
          <w:rFonts w:ascii="Tahoma" w:hAnsi="Tahoma" w:cs="Tahoma"/>
          <w:sz w:val="24"/>
          <w:szCs w:val="24"/>
        </w:rPr>
        <w:t xml:space="preserve"> kryteri</w:t>
      </w:r>
      <w:r w:rsidR="00516B12">
        <w:rPr>
          <w:rFonts w:ascii="Tahoma" w:hAnsi="Tahoma" w:cs="Tahoma"/>
          <w:sz w:val="24"/>
          <w:szCs w:val="24"/>
        </w:rPr>
        <w:t>ów</w:t>
      </w:r>
      <w:r w:rsidR="00516B12" w:rsidRPr="00516B12">
        <w:rPr>
          <w:rFonts w:ascii="Tahoma" w:hAnsi="Tahoma" w:cs="Tahoma"/>
          <w:sz w:val="24"/>
          <w:szCs w:val="24"/>
        </w:rPr>
        <w:t xml:space="preserve"> nie podlegają zakwalifikowaniu do kolejnego etapu</w:t>
      </w:r>
      <w:r w:rsidR="00516B12">
        <w:rPr>
          <w:rFonts w:ascii="Tahoma" w:hAnsi="Tahoma" w:cs="Tahoma"/>
          <w:sz w:val="24"/>
          <w:szCs w:val="24"/>
        </w:rPr>
        <w:t xml:space="preserve"> oceny</w:t>
      </w:r>
      <w:r w:rsidR="00516B12" w:rsidRPr="00516B12">
        <w:rPr>
          <w:rFonts w:ascii="Tahoma" w:hAnsi="Tahoma" w:cs="Tahoma"/>
          <w:sz w:val="24"/>
          <w:szCs w:val="24"/>
        </w:rPr>
        <w:t>.</w:t>
      </w:r>
    </w:p>
    <w:p w14:paraId="3D94F729" w14:textId="217F0402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Udzielenie wsparcia w ramach projektów z obszaru zatrudnienia i rynku pracy każdorazowo jest poprzedzone identyfikacją potrzeb uczestnika projektu, w tym m.in. poprzez diagnozowanie potrzeb szkoleniowych lub walidacyjnych (potwierdzanie nabytych wcześniej kwalifikacji i kompetencji), możliwości doskonalenia zawodowego oraz opracowaniem lub aktualizacją dla każdego uczestnika projektu Indywidualnego Planu Działania, o którym mowa w ustawie z dnia 20 kwietnia 2004 r. o promocji zatrudnienia i instytucjach rynku pracy,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</w:r>
    </w:p>
    <w:p w14:paraId="43B12D16" w14:textId="634854B7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Wsparcie udzielane w ramach projektów jest dostosowane do indywidualnych potrzeb uczestników projektów, wynikających z ich wiedzy, umiejętności i kompetencji oraz kwalifikacji do wykonywania danego zawodu. Każdy z uczestników projektu otrzymuje ofertę wsparcia, obejmującą takie formy pomocy, które zostaną zidentyfikowane u niego jako niezbędne w celu poprawy sytuacji na rynku pracy lub uzyskania zatrudnienia.</w:t>
      </w:r>
    </w:p>
    <w:p w14:paraId="4BDAC5AF" w14:textId="22403941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Efektem szkolenia będzie nabycie kwalifikacji lub kompetencji.</w:t>
      </w:r>
    </w:p>
    <w:p w14:paraId="64B377A4" w14:textId="77777777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Nabycie kwalifikacji lub kompetencji jest weryfikowane i potwierdzane zgodnie z zasadami wskazanymi w załączniku nr 2 „Podstawowe 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2021–2027.</w:t>
      </w:r>
    </w:p>
    <w:p w14:paraId="6363A37B" w14:textId="602392CB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lastRenderedPageBreak/>
        <w:t>Wnioskodawca zapewnia, że w przypadku wsparcia skierowanego do osób w wieku 18–29 lat</w:t>
      </w:r>
      <w:r w:rsidR="00FF6BC0" w:rsidRPr="005049B5">
        <w:rPr>
          <w:rFonts w:ascii="Tahoma" w:hAnsi="Tahoma" w:cs="Tahoma"/>
          <w:sz w:val="24"/>
          <w:szCs w:val="24"/>
        </w:rPr>
        <w:t xml:space="preserve"> </w:t>
      </w:r>
      <w:r w:rsidRPr="005049B5">
        <w:rPr>
          <w:rFonts w:ascii="Tahoma" w:hAnsi="Tahoma" w:cs="Tahoma"/>
          <w:sz w:val="24"/>
          <w:szCs w:val="24"/>
        </w:rPr>
        <w:t>udział takiej osoby w projekcie EFS+ jest obligatoryjnie poprzedzony oceną umiejętności cyfrowych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5049B5">
        <w:rPr>
          <w:rFonts w:ascii="Tahoma" w:hAnsi="Tahoma" w:cs="Tahoma"/>
          <w:sz w:val="24"/>
          <w:szCs w:val="24"/>
        </w:rPr>
        <w:t xml:space="preserve"> </w:t>
      </w:r>
      <w:r w:rsidR="00A06FF9" w:rsidRPr="005049B5">
        <w:rPr>
          <w:rFonts w:ascii="Tahoma" w:hAnsi="Tahoma" w:cs="Tahoma"/>
          <w:sz w:val="24"/>
          <w:szCs w:val="24"/>
        </w:rPr>
        <w:t xml:space="preserve">(w trakcie wykonywania przedmiotowej oceny, należy uwzględnić możliwości psychofizyczne danej osoby) </w:t>
      </w:r>
      <w:r w:rsidRPr="005049B5">
        <w:rPr>
          <w:rFonts w:ascii="Tahoma" w:hAnsi="Tahoma" w:cs="Tahoma"/>
          <w:sz w:val="24"/>
          <w:szCs w:val="24"/>
        </w:rPr>
        <w:t>oraz – w razie potrzeby – uzupełnieniem poziomu kompetencji</w:t>
      </w:r>
      <w:r w:rsidR="00A06FF9" w:rsidRPr="005049B5">
        <w:rPr>
          <w:rFonts w:ascii="Tahoma" w:hAnsi="Tahoma" w:cs="Tahoma"/>
          <w:sz w:val="24"/>
          <w:szCs w:val="24"/>
        </w:rPr>
        <w:t xml:space="preserve">. </w:t>
      </w:r>
      <w:r w:rsidR="00FF6BC0" w:rsidRPr="005049B5">
        <w:rPr>
          <w:rFonts w:ascii="Tahoma" w:hAnsi="Tahoma" w:cs="Tahoma"/>
          <w:sz w:val="24"/>
          <w:szCs w:val="24"/>
        </w:rPr>
        <w:t>Przy czym nacisk powinien zostać położony na umiejętności:</w:t>
      </w:r>
    </w:p>
    <w:p w14:paraId="52DC4587" w14:textId="77777777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cyfrowe;</w:t>
      </w:r>
    </w:p>
    <w:p w14:paraId="67642ECC" w14:textId="47567654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do podjęcia pracy w sektorze zielonej gospodarki;</w:t>
      </w:r>
    </w:p>
    <w:p w14:paraId="09643CDA" w14:textId="19A005C3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w branżach: metalowo-odlewniczej, zasobooszczędnym budownictwie, turystyce zdrowotnej i prozdrowotnej, nowoczesnym rolnictwie i przetwórstwie spożywczym;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76DE6A2D" w14:textId="67FB223F" w:rsidR="00563227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w zawodach związanych z usługami</w:t>
      </w:r>
      <w:r w:rsidR="00FF6BC0" w:rsidRPr="005049B5">
        <w:rPr>
          <w:rFonts w:ascii="Tahoma" w:hAnsi="Tahoma" w:cs="Tahoma"/>
          <w:sz w:val="24"/>
          <w:szCs w:val="24"/>
        </w:rPr>
        <w:t xml:space="preserve"> zdrowotnymi i opiekuńczymi</w:t>
      </w:r>
      <w:r w:rsidRPr="005049B5">
        <w:rPr>
          <w:rFonts w:ascii="Tahoma" w:hAnsi="Tahoma" w:cs="Tahoma"/>
          <w:sz w:val="24"/>
          <w:szCs w:val="24"/>
        </w:rPr>
        <w:t>.</w:t>
      </w:r>
    </w:p>
    <w:p w14:paraId="0129ACDA" w14:textId="77777777" w:rsidR="00FC7FCD" w:rsidRPr="00FC7FCD" w:rsidRDefault="00FC7FCD" w:rsidP="00FC7FCD">
      <w:pPr>
        <w:pStyle w:val="Akapitzlist"/>
        <w:numPr>
          <w:ilvl w:val="0"/>
          <w:numId w:val="7"/>
        </w:numPr>
        <w:ind w:left="1134" w:hanging="425"/>
        <w:rPr>
          <w:rFonts w:ascii="Tahoma" w:hAnsi="Tahoma" w:cs="Tahoma"/>
          <w:sz w:val="24"/>
          <w:szCs w:val="24"/>
        </w:rPr>
      </w:pPr>
      <w:r w:rsidRPr="00FC7FCD">
        <w:rPr>
          <w:rFonts w:ascii="Tahoma" w:hAnsi="Tahoma" w:cs="Tahoma"/>
          <w:sz w:val="24"/>
          <w:szCs w:val="24"/>
        </w:rPr>
        <w:t xml:space="preserve">Wsparcie w postaci staży realizowane w ramach projektów jest zgodne z zaleceniem Rady z dnia 10 marca 2014 r. w sprawie ram jakości staży. </w:t>
      </w:r>
    </w:p>
    <w:p w14:paraId="25C84DE0" w14:textId="08BF5665" w:rsidR="00FC7FCD" w:rsidRPr="00962A74" w:rsidRDefault="00E113A9" w:rsidP="00E113A9">
      <w:pPr>
        <w:pStyle w:val="Akapitzlist"/>
        <w:numPr>
          <w:ilvl w:val="0"/>
          <w:numId w:val="7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Wsparcie udzielane w projektach, w których są stosowane instrumenty i usługi rynku pracy analogiczne jak wskazane w ustawie z dnia 20 kwietnia 2004 r. o promocji zatrudnienia i instytucjach rynku pracy, to są one realizowane w sposób i na zasadach określonych w tej ustawie i odpowiednich aktach wykonawczych do ustawy z wyłączeniem subsydiowanego zatrudnienia, które jest realizowane w oparciu o Rozporządzenie Ministra Funduszy i Polityki Regionalnej z dnia 20 grudnia 2022 r. w sprawie udzielania pomocy de minimis oraz pomocy publicznej w ramach programów finansowanych z Europejskiego Funduszu Społecznego Plus (EFS+) na lata 2021–2027.</w:t>
      </w:r>
    </w:p>
    <w:p w14:paraId="10FBF3FF" w14:textId="552A9E72" w:rsidR="00E113A9" w:rsidRPr="00962A74" w:rsidRDefault="00BE46A3" w:rsidP="00E113A9">
      <w:pPr>
        <w:pStyle w:val="Akapitzlist"/>
        <w:numPr>
          <w:ilvl w:val="0"/>
          <w:numId w:val="7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 xml:space="preserve">Zasady stosowania zatrudnienia wspomaganego w projekcie: </w:t>
      </w:r>
    </w:p>
    <w:p w14:paraId="500ADD3D" w14:textId="4F80ED02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1) W przypadku zdiagnozowania potrzeb osób z niepełnosprawnościami zapewniane jest wsparcie trenera pracy realizującego działania w zakresie zatrudnienia wspomaganego.</w:t>
      </w:r>
    </w:p>
    <w:p w14:paraId="4BD65217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2) Trenerem pracy może być osoba, która spełnia łącznie poniższe warunki:</w:t>
      </w:r>
    </w:p>
    <w:p w14:paraId="4D3283B1" w14:textId="537DCFCB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lastRenderedPageBreak/>
        <w:t>a) posiada co najmniej średnie wykształcenie oraz podstawową wiedzę w zakresie przepisów prawa pracy i zatrudniania osób z niepełnosprawnościami;</w:t>
      </w:r>
    </w:p>
    <w:p w14:paraId="75D4A82D" w14:textId="456C32E8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b) posiada co najmniej roczne doświadczenie zawodowe, w tym także doświadczenie w formie wolontariatu;</w:t>
      </w:r>
    </w:p>
    <w:p w14:paraId="1E20B058" w14:textId="5A68F489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c) posiada co najmniej 3-miesięczne doświadczenie w bezpośredniej pracy z osobami z niepełnosprawnościami lub przeszła szkolenie w zakresie zatrudnienia wspomaganego.</w:t>
      </w:r>
    </w:p>
    <w:p w14:paraId="14555E00" w14:textId="51B837CC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3) Zadania w zakresie zatrudnienia wspomaganego są realizowane przez trenera pracy, który może zostać również wsparty przez psychologa, doradcę zawodowego lub terapeutów.</w:t>
      </w:r>
    </w:p>
    <w:p w14:paraId="4A82BCF4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 xml:space="preserve">4) Osoby z niepełnosprawnościami, mogą w trakcie zatrudnienia wspomaganego, korzystać również z usług asystenta osób z niepełnosprawnościami oraz ze wsparcia innych specjalistów ukierunkowanego na utrzymanie zatrudnienia </w:t>
      </w:r>
    </w:p>
    <w:p w14:paraId="4210B51A" w14:textId="481436AF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5) Trener pracy realizuje zadanie w zakresie:</w:t>
      </w:r>
    </w:p>
    <w:p w14:paraId="16008B9A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a) motywowania i aktywności osób z niepełnosprawnościami;</w:t>
      </w:r>
    </w:p>
    <w:p w14:paraId="29EEA0AF" w14:textId="19DECE44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b) zapewnienia im wsparcia w zakresie poradnictwa i doradztwa zawodowego oraz wypracowania profilu zawodowego;</w:t>
      </w:r>
    </w:p>
    <w:p w14:paraId="429713A5" w14:textId="77777777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c) wsparcia w poszukiwaniu pracy i kontaktu z pracodawcą;</w:t>
      </w:r>
    </w:p>
    <w:p w14:paraId="08F7CB77" w14:textId="596A5B10" w:rsidR="00E113A9" w:rsidRPr="00962A74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d) wsparcia po uzyskaniu zatrudnienia w zakresie orzecznictwa, poradnictwa i innych form wymaganego wsparcia.</w:t>
      </w:r>
    </w:p>
    <w:p w14:paraId="0D8E692B" w14:textId="514A1362" w:rsidR="00E113A9" w:rsidRPr="00E113A9" w:rsidRDefault="00E113A9" w:rsidP="00BE46A3">
      <w:pPr>
        <w:spacing w:line="276" w:lineRule="auto"/>
        <w:ind w:left="1276"/>
        <w:rPr>
          <w:rFonts w:ascii="Tahoma" w:hAnsi="Tahoma" w:cs="Tahoma"/>
          <w:sz w:val="24"/>
          <w:szCs w:val="24"/>
        </w:rPr>
      </w:pPr>
      <w:r w:rsidRPr="00962A74">
        <w:rPr>
          <w:rFonts w:ascii="Tahoma" w:hAnsi="Tahoma" w:cs="Tahoma"/>
          <w:sz w:val="24"/>
          <w:szCs w:val="24"/>
        </w:rPr>
        <w:t>6) Wymiar czasu pracy i okres zatrudnienia trenera pracy powinien wynikać z indywidualnych potrzeb osób z niepełnosprawnościami.</w:t>
      </w:r>
    </w:p>
    <w:sectPr w:rsidR="00E113A9" w:rsidRPr="00E113A9" w:rsidSect="009E644F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4EE1" w14:textId="77777777" w:rsidR="00427F22" w:rsidRDefault="00427F22" w:rsidP="00AE1DFA">
      <w:pPr>
        <w:spacing w:after="0" w:line="240" w:lineRule="auto"/>
      </w:pPr>
      <w:r>
        <w:separator/>
      </w:r>
    </w:p>
  </w:endnote>
  <w:endnote w:type="continuationSeparator" w:id="0">
    <w:p w14:paraId="27CAEF9D" w14:textId="77777777" w:rsidR="00427F22" w:rsidRDefault="00427F22" w:rsidP="00AE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E644F" w:rsidRPr="00951C59" w14:paraId="3CDC0FDB" w14:textId="77777777" w:rsidTr="00ED2F0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755B830" w14:textId="77777777" w:rsidR="009E644F" w:rsidRPr="00951C59" w:rsidRDefault="009E644F" w:rsidP="009E644F">
          <w:pPr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61592956" wp14:editId="3493ADD9">
                <wp:extent cx="795166" cy="432000"/>
                <wp:effectExtent l="19050" t="0" r="4934" b="0"/>
                <wp:docPr id="530765223" name="Obraz 530765223" descr="Logo Urzędu Pr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1" descr="Logo Urzędu Pra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E87B27F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     </w:t>
          </w:r>
        </w:p>
        <w:p w14:paraId="36D7A0A8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093B23E0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>ul. Witosa 86, 25-561 Kielce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  <w:t>tel.: (048) 41 364-16-00, fax: (048) 41 364-16-66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</w:r>
          <w:r w:rsidRPr="00951C59">
            <w:rPr>
              <w:rFonts w:ascii="Tahoma" w:hAnsi="Tahoma" w:cs="Tahoma"/>
              <w:sz w:val="16"/>
              <w:szCs w:val="16"/>
            </w:rPr>
            <w:t>e-mail: wup@wup.kielce.pl,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7A905767" w14:textId="77777777" w:rsidR="009E644F" w:rsidRDefault="009E6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074D" w14:textId="77777777" w:rsidR="00427F22" w:rsidRDefault="00427F22" w:rsidP="00AE1DFA">
      <w:pPr>
        <w:spacing w:after="0" w:line="240" w:lineRule="auto"/>
      </w:pPr>
      <w:r>
        <w:separator/>
      </w:r>
    </w:p>
  </w:footnote>
  <w:footnote w:type="continuationSeparator" w:id="0">
    <w:p w14:paraId="0C812A97" w14:textId="77777777" w:rsidR="00427F22" w:rsidRDefault="00427F22" w:rsidP="00AE1DFA">
      <w:pPr>
        <w:spacing w:after="0" w:line="240" w:lineRule="auto"/>
      </w:pPr>
      <w:r>
        <w:continuationSeparator/>
      </w:r>
    </w:p>
  </w:footnote>
  <w:footnote w:id="1">
    <w:p w14:paraId="640909C4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Z wykorzystaniem „Europejskiego narzędzia do oceny poziomu kompetencji cyfrowych”</w:t>
      </w:r>
    </w:p>
    <w:p w14:paraId="49C89B90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(https://europa.eu/europass/digitalskills/screen/questionnaire/generic) lub innego narzędzia</w:t>
      </w:r>
    </w:p>
    <w:p w14:paraId="3004CAB7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rekomendowanego i udostępnionego przez ministra właściwego do spraw pracy, który odpowiada za</w:t>
      </w:r>
    </w:p>
    <w:p w14:paraId="296F18F2" w14:textId="42E19B6F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nadzór nad realizacją Gwarancji dla młodzieży w Polsce.</w:t>
      </w:r>
    </w:p>
  </w:footnote>
  <w:footnote w:id="2">
    <w:p w14:paraId="2B09CE2D" w14:textId="7EECB6F4" w:rsidR="002E48F5" w:rsidRDefault="002E48F5">
      <w:pPr>
        <w:pStyle w:val="Tekstprzypisudolnego"/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Wymienione branże zostały wskazane w Regionalnej Strategii Innowacji jako cztery obszary stanowiące inteligentne specjalizacje regionu. Charakteryzują się one znacznym potencjałem innowacyjnym a ich wzrost przełoży się na przyspieszenie rozwoju województwa i powstanie nowych miejsc pracy dla wykwalifikowanych pracowników. Rozwojowi branż perspektywicznych towarzyszyć musi pojawianie się w regionie elementów rynku o charakterze zarówno podażowym, jak i popytowym. Po stronie podażowej rynku kluczową rolę odgrywa proces przygotowania odpowiednich zasobów kadrowych, gotowych do wykonywania pracy w branżach zidentyfikowanych jako przyszłościowe.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C90F" w14:textId="390B0B37" w:rsidR="009E644F" w:rsidRDefault="009E644F">
    <w:pPr>
      <w:pStyle w:val="Nagwek"/>
    </w:pPr>
    <w:r w:rsidRPr="00631FDA">
      <w:rPr>
        <w:rFonts w:ascii="Calibri" w:eastAsia="Times New Roman" w:hAnsi="Calibri" w:cs="Calibri"/>
        <w:noProof/>
        <w:sz w:val="24"/>
        <w:szCs w:val="24"/>
      </w:rPr>
      <w:drawing>
        <wp:inline distT="0" distB="0" distL="0" distR="0" wp14:anchorId="77BA01C3" wp14:editId="40CFB3E5">
          <wp:extent cx="5731510" cy="443230"/>
          <wp:effectExtent l="0" t="0" r="2540" b="0"/>
          <wp:docPr id="927626040" name="Obraz 927626040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7F5"/>
    <w:multiLevelType w:val="hybridMultilevel"/>
    <w:tmpl w:val="5F1AD300"/>
    <w:lvl w:ilvl="0" w:tplc="B5E2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C3CBC"/>
    <w:multiLevelType w:val="hybridMultilevel"/>
    <w:tmpl w:val="6330A9DE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73C59EC"/>
    <w:multiLevelType w:val="hybridMultilevel"/>
    <w:tmpl w:val="FF0C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2303"/>
    <w:multiLevelType w:val="hybridMultilevel"/>
    <w:tmpl w:val="6330A9D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24364C9"/>
    <w:multiLevelType w:val="hybridMultilevel"/>
    <w:tmpl w:val="8E84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B0267"/>
    <w:multiLevelType w:val="hybridMultilevel"/>
    <w:tmpl w:val="A25E635C"/>
    <w:lvl w:ilvl="0" w:tplc="63DC4C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C5170"/>
    <w:multiLevelType w:val="hybridMultilevel"/>
    <w:tmpl w:val="EA2C5660"/>
    <w:lvl w:ilvl="0" w:tplc="7EECB84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7178318">
    <w:abstractNumId w:val="5"/>
  </w:num>
  <w:num w:numId="2" w16cid:durableId="31224241">
    <w:abstractNumId w:val="0"/>
  </w:num>
  <w:num w:numId="3" w16cid:durableId="1949314111">
    <w:abstractNumId w:val="4"/>
  </w:num>
  <w:num w:numId="4" w16cid:durableId="772431952">
    <w:abstractNumId w:val="3"/>
  </w:num>
  <w:num w:numId="5" w16cid:durableId="1198393809">
    <w:abstractNumId w:val="1"/>
  </w:num>
  <w:num w:numId="6" w16cid:durableId="484473671">
    <w:abstractNumId w:val="2"/>
  </w:num>
  <w:num w:numId="7" w16cid:durableId="1642878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7"/>
    <w:rsid w:val="00076EC2"/>
    <w:rsid w:val="000C6CCD"/>
    <w:rsid w:val="000D71F6"/>
    <w:rsid w:val="00135C4D"/>
    <w:rsid w:val="001827AD"/>
    <w:rsid w:val="00215BAE"/>
    <w:rsid w:val="00253457"/>
    <w:rsid w:val="00285923"/>
    <w:rsid w:val="002D25D9"/>
    <w:rsid w:val="002E48F5"/>
    <w:rsid w:val="00302F74"/>
    <w:rsid w:val="00353517"/>
    <w:rsid w:val="00367CD8"/>
    <w:rsid w:val="00370743"/>
    <w:rsid w:val="00377E59"/>
    <w:rsid w:val="003809D4"/>
    <w:rsid w:val="003E6D8B"/>
    <w:rsid w:val="00427F22"/>
    <w:rsid w:val="004A781B"/>
    <w:rsid w:val="005049B5"/>
    <w:rsid w:val="00516B12"/>
    <w:rsid w:val="00522BD0"/>
    <w:rsid w:val="005600DC"/>
    <w:rsid w:val="00563227"/>
    <w:rsid w:val="005B14FD"/>
    <w:rsid w:val="00603657"/>
    <w:rsid w:val="00635B4F"/>
    <w:rsid w:val="006C0F5C"/>
    <w:rsid w:val="00754963"/>
    <w:rsid w:val="007556F1"/>
    <w:rsid w:val="00762F84"/>
    <w:rsid w:val="00775420"/>
    <w:rsid w:val="00776348"/>
    <w:rsid w:val="00815E89"/>
    <w:rsid w:val="00874ACF"/>
    <w:rsid w:val="00962A74"/>
    <w:rsid w:val="0096767F"/>
    <w:rsid w:val="00986686"/>
    <w:rsid w:val="009E644F"/>
    <w:rsid w:val="00A04F14"/>
    <w:rsid w:val="00A06FF9"/>
    <w:rsid w:val="00AE1DFA"/>
    <w:rsid w:val="00B17D29"/>
    <w:rsid w:val="00B613B2"/>
    <w:rsid w:val="00B927B0"/>
    <w:rsid w:val="00BE46A3"/>
    <w:rsid w:val="00BE5BCB"/>
    <w:rsid w:val="00BE6C3A"/>
    <w:rsid w:val="00C639E1"/>
    <w:rsid w:val="00C8549A"/>
    <w:rsid w:val="00CE477B"/>
    <w:rsid w:val="00CE572D"/>
    <w:rsid w:val="00DC7DDE"/>
    <w:rsid w:val="00DD263B"/>
    <w:rsid w:val="00DE1FC0"/>
    <w:rsid w:val="00E113A9"/>
    <w:rsid w:val="00F21037"/>
    <w:rsid w:val="00F43C0F"/>
    <w:rsid w:val="00F53B5B"/>
    <w:rsid w:val="00FC7FCD"/>
    <w:rsid w:val="00FE340F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93E2"/>
  <w15:chartTrackingRefBased/>
  <w15:docId w15:val="{239681BE-67BC-40B9-92CC-663F01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4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D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44F"/>
  </w:style>
  <w:style w:type="paragraph" w:styleId="Stopka">
    <w:name w:val="footer"/>
    <w:basedOn w:val="Normalny"/>
    <w:link w:val="Stopka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44F"/>
  </w:style>
  <w:style w:type="table" w:styleId="Tabela-Siatka">
    <w:name w:val="Table Grid"/>
    <w:basedOn w:val="Standardowy"/>
    <w:uiPriority w:val="59"/>
    <w:rsid w:val="009E64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8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FC22-807F-4CD6-958D-3DF4535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Drogosz, Monika</cp:lastModifiedBy>
  <cp:revision>2</cp:revision>
  <cp:lastPrinted>2023-08-11T09:58:00Z</cp:lastPrinted>
  <dcterms:created xsi:type="dcterms:W3CDTF">2023-08-30T11:59:00Z</dcterms:created>
  <dcterms:modified xsi:type="dcterms:W3CDTF">2023-08-30T11:59:00Z</dcterms:modified>
</cp:coreProperties>
</file>