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0A" w:rsidRDefault="00B2260A" w:rsidP="00B2260A">
      <w:pPr>
        <w:autoSpaceDE w:val="0"/>
        <w:autoSpaceDN w:val="0"/>
        <w:adjustRightInd w:val="0"/>
        <w:spacing w:after="0" w:line="240" w:lineRule="auto"/>
        <w:rPr>
          <w:rFonts w:cs="Calibri"/>
          <w:sz w:val="20"/>
          <w:szCs w:val="20"/>
        </w:rPr>
      </w:pPr>
      <w:bookmarkStart w:id="0" w:name="_GoBack"/>
      <w:bookmarkEnd w:id="0"/>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Ind w:w="1064" w:type="dxa"/>
        <w:tblLook w:val="04A0" w:firstRow="1" w:lastRow="0" w:firstColumn="1" w:lastColumn="0" w:noHBand="0" w:noVBand="1"/>
      </w:tblPr>
      <w:tblGrid>
        <w:gridCol w:w="3047"/>
        <w:gridCol w:w="2054"/>
        <w:gridCol w:w="3783"/>
      </w:tblGrid>
      <w:tr w:rsidR="00B2260A" w:rsidRPr="003D1801" w:rsidTr="004A1380">
        <w:trPr>
          <w:jc w:val="center"/>
        </w:trPr>
        <w:tc>
          <w:tcPr>
            <w:tcW w:w="3382" w:type="dxa"/>
          </w:tcPr>
          <w:p w:rsidR="00B2260A" w:rsidRPr="003D1801" w:rsidRDefault="006E58B3"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9"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6E58B3" w:rsidP="004A1380">
            <w:pPr>
              <w:jc w:val="center"/>
              <w:rPr>
                <w:rFonts w:ascii="Arial" w:hAnsi="Arial" w:cs="Arial"/>
                <w:sz w:val="20"/>
                <w:szCs w:val="20"/>
              </w:rPr>
            </w:pPr>
            <w:r>
              <w:rPr>
                <w:rFonts w:ascii="Cambria" w:hAnsi="Cambria"/>
                <w:b/>
                <w:noProof/>
                <w:lang w:eastAsia="pl-PL"/>
              </w:rPr>
              <w:drawing>
                <wp:inline distT="0" distB="0" distL="0" distR="0">
                  <wp:extent cx="1148080" cy="53530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6E58B3"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6E58B3"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B2260A" w:rsidRDefault="00B2260A" w:rsidP="0028357C">
      <w:pPr>
        <w:jc w:val="center"/>
        <w:rPr>
          <w:rFonts w:ascii="Arial" w:hAnsi="Arial" w:cs="Arial"/>
          <w:sz w:val="20"/>
          <w:szCs w:val="20"/>
        </w:rPr>
      </w:pP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1E5578">
        <w:rPr>
          <w:rFonts w:ascii="Arial" w:hAnsi="Arial" w:cs="Arial"/>
          <w:sz w:val="20"/>
          <w:szCs w:val="20"/>
        </w:rPr>
        <w:t>listopad</w:t>
      </w:r>
      <w:r w:rsidR="00560B60">
        <w:rPr>
          <w:rFonts w:ascii="Arial" w:hAnsi="Arial" w:cs="Arial"/>
          <w:sz w:val="20"/>
          <w:szCs w:val="20"/>
        </w:rPr>
        <w:t xml:space="preserve"> 2016</w:t>
      </w:r>
      <w:r w:rsidR="0028357C" w:rsidRPr="00B2260A">
        <w:rPr>
          <w:rFonts w:ascii="Arial" w:hAnsi="Arial" w:cs="Arial"/>
          <w:sz w:val="20"/>
          <w:szCs w:val="20"/>
        </w:rPr>
        <w:t xml:space="preserve"> </w:t>
      </w:r>
    </w:p>
    <w:p w:rsidR="00043312" w:rsidRDefault="00043312">
      <w:pPr>
        <w:pStyle w:val="Nagwekspisutreci"/>
      </w:pPr>
      <w:r>
        <w:lastRenderedPageBreak/>
        <w:t>Zawartość</w:t>
      </w:r>
    </w:p>
    <w:p w:rsidR="00043312" w:rsidRPr="00043312" w:rsidRDefault="00043312" w:rsidP="00043312"/>
    <w:p w:rsidR="006E58B3" w:rsidRDefault="00951E3C">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467746239" w:history="1">
        <w:r w:rsidR="006E58B3" w:rsidRPr="00BB6C73">
          <w:rPr>
            <w:rStyle w:val="Hipercze"/>
            <w:noProof/>
          </w:rPr>
          <w:t>Wstęp</w:t>
        </w:r>
        <w:r w:rsidR="006E58B3">
          <w:rPr>
            <w:noProof/>
            <w:webHidden/>
          </w:rPr>
          <w:tab/>
        </w:r>
        <w:r w:rsidR="006E58B3">
          <w:rPr>
            <w:noProof/>
            <w:webHidden/>
          </w:rPr>
          <w:fldChar w:fldCharType="begin"/>
        </w:r>
        <w:r w:rsidR="006E58B3">
          <w:rPr>
            <w:noProof/>
            <w:webHidden/>
          </w:rPr>
          <w:instrText xml:space="preserve"> PAGEREF _Toc467746239 \h </w:instrText>
        </w:r>
        <w:r w:rsidR="006E58B3">
          <w:rPr>
            <w:noProof/>
            <w:webHidden/>
          </w:rPr>
        </w:r>
        <w:r w:rsidR="006E58B3">
          <w:rPr>
            <w:noProof/>
            <w:webHidden/>
          </w:rPr>
          <w:fldChar w:fldCharType="separate"/>
        </w:r>
        <w:r w:rsidR="006E58B3">
          <w:rPr>
            <w:noProof/>
            <w:webHidden/>
          </w:rPr>
          <w:t>4</w:t>
        </w:r>
        <w:r w:rsidR="006E58B3">
          <w:rPr>
            <w:noProof/>
            <w:webHidden/>
          </w:rPr>
          <w:fldChar w:fldCharType="end"/>
        </w:r>
      </w:hyperlink>
    </w:p>
    <w:p w:rsidR="006E58B3" w:rsidRDefault="00A65703">
      <w:pPr>
        <w:pStyle w:val="Spistreci1"/>
        <w:tabs>
          <w:tab w:val="right" w:leader="dot" w:pos="10456"/>
        </w:tabs>
        <w:rPr>
          <w:rFonts w:asciiTheme="minorHAnsi" w:eastAsiaTheme="minorEastAsia" w:hAnsiTheme="minorHAnsi" w:cstheme="minorBidi"/>
          <w:noProof/>
          <w:lang w:eastAsia="pl-PL"/>
        </w:rPr>
      </w:pPr>
      <w:hyperlink w:anchor="_Toc467746240" w:history="1">
        <w:r w:rsidR="006E58B3" w:rsidRPr="00BB6C73">
          <w:rPr>
            <w:rStyle w:val="Hipercze"/>
            <w:noProof/>
          </w:rPr>
          <w:t>Słownik pojęć i skrótów</w:t>
        </w:r>
        <w:r w:rsidR="006E58B3">
          <w:rPr>
            <w:noProof/>
            <w:webHidden/>
          </w:rPr>
          <w:tab/>
        </w:r>
        <w:r w:rsidR="006E58B3">
          <w:rPr>
            <w:noProof/>
            <w:webHidden/>
          </w:rPr>
          <w:fldChar w:fldCharType="begin"/>
        </w:r>
        <w:r w:rsidR="006E58B3">
          <w:rPr>
            <w:noProof/>
            <w:webHidden/>
          </w:rPr>
          <w:instrText xml:space="preserve"> PAGEREF _Toc467746240 \h </w:instrText>
        </w:r>
        <w:r w:rsidR="006E58B3">
          <w:rPr>
            <w:noProof/>
            <w:webHidden/>
          </w:rPr>
        </w:r>
        <w:r w:rsidR="006E58B3">
          <w:rPr>
            <w:noProof/>
            <w:webHidden/>
          </w:rPr>
          <w:fldChar w:fldCharType="separate"/>
        </w:r>
        <w:r w:rsidR="006E58B3">
          <w:rPr>
            <w:noProof/>
            <w:webHidden/>
          </w:rPr>
          <w:t>6</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41" w:history="1">
        <w:r w:rsidR="006E58B3" w:rsidRPr="00BB6C73">
          <w:rPr>
            <w:rStyle w:val="Hipercze"/>
            <w:noProof/>
          </w:rPr>
          <w:t>1.</w:t>
        </w:r>
        <w:r w:rsidR="006E58B3">
          <w:rPr>
            <w:rFonts w:asciiTheme="minorHAnsi" w:eastAsiaTheme="minorEastAsia" w:hAnsiTheme="minorHAnsi" w:cstheme="minorBidi"/>
            <w:noProof/>
            <w:lang w:eastAsia="pl-PL"/>
          </w:rPr>
          <w:tab/>
        </w:r>
        <w:r w:rsidR="006E58B3" w:rsidRPr="00BB6C73">
          <w:rPr>
            <w:rStyle w:val="Hipercze"/>
            <w:noProof/>
          </w:rPr>
          <w:t>Identyfikacja projektu</w:t>
        </w:r>
        <w:r w:rsidR="006E58B3">
          <w:rPr>
            <w:noProof/>
            <w:webHidden/>
          </w:rPr>
          <w:tab/>
        </w:r>
        <w:r w:rsidR="006E58B3">
          <w:rPr>
            <w:noProof/>
            <w:webHidden/>
          </w:rPr>
          <w:fldChar w:fldCharType="begin"/>
        </w:r>
        <w:r w:rsidR="006E58B3">
          <w:rPr>
            <w:noProof/>
            <w:webHidden/>
          </w:rPr>
          <w:instrText xml:space="preserve"> PAGEREF _Toc467746241 \h </w:instrText>
        </w:r>
        <w:r w:rsidR="006E58B3">
          <w:rPr>
            <w:noProof/>
            <w:webHidden/>
          </w:rPr>
        </w:r>
        <w:r w:rsidR="006E58B3">
          <w:rPr>
            <w:noProof/>
            <w:webHidden/>
          </w:rPr>
          <w:fldChar w:fldCharType="separate"/>
        </w:r>
        <w:r w:rsidR="006E58B3">
          <w:rPr>
            <w:noProof/>
            <w:webHidden/>
          </w:rPr>
          <w:t>17</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42" w:history="1">
        <w:r w:rsidR="006E58B3" w:rsidRPr="00BB6C73">
          <w:rPr>
            <w:rStyle w:val="Hipercze"/>
            <w:noProof/>
          </w:rPr>
          <w:t>1.1.</w:t>
        </w:r>
        <w:r w:rsidR="006E58B3">
          <w:rPr>
            <w:rFonts w:asciiTheme="minorHAnsi" w:eastAsiaTheme="minorEastAsia" w:hAnsiTheme="minorHAnsi" w:cstheme="minorBidi"/>
            <w:noProof/>
            <w:lang w:eastAsia="pl-PL"/>
          </w:rPr>
          <w:tab/>
        </w:r>
        <w:r w:rsidR="006E58B3" w:rsidRPr="00BB6C73">
          <w:rPr>
            <w:rStyle w:val="Hipercze"/>
            <w:noProof/>
          </w:rPr>
          <w:t>Podstawowe dane o projekcie</w:t>
        </w:r>
        <w:r w:rsidR="006E58B3">
          <w:rPr>
            <w:noProof/>
            <w:webHidden/>
          </w:rPr>
          <w:tab/>
        </w:r>
        <w:r w:rsidR="006E58B3">
          <w:rPr>
            <w:noProof/>
            <w:webHidden/>
          </w:rPr>
          <w:fldChar w:fldCharType="begin"/>
        </w:r>
        <w:r w:rsidR="006E58B3">
          <w:rPr>
            <w:noProof/>
            <w:webHidden/>
          </w:rPr>
          <w:instrText xml:space="preserve"> PAGEREF _Toc467746242 \h </w:instrText>
        </w:r>
        <w:r w:rsidR="006E58B3">
          <w:rPr>
            <w:noProof/>
            <w:webHidden/>
          </w:rPr>
        </w:r>
        <w:r w:rsidR="006E58B3">
          <w:rPr>
            <w:noProof/>
            <w:webHidden/>
          </w:rPr>
          <w:fldChar w:fldCharType="separate"/>
        </w:r>
        <w:r w:rsidR="006E58B3">
          <w:rPr>
            <w:noProof/>
            <w:webHidden/>
          </w:rPr>
          <w:t>17</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43" w:history="1">
        <w:r w:rsidR="006E58B3" w:rsidRPr="00BB6C73">
          <w:rPr>
            <w:rStyle w:val="Hipercze"/>
            <w:noProof/>
          </w:rPr>
          <w:t>1.2.</w:t>
        </w:r>
        <w:r w:rsidR="006E58B3">
          <w:rPr>
            <w:rFonts w:asciiTheme="minorHAnsi" w:eastAsiaTheme="minorEastAsia" w:hAnsiTheme="minorHAnsi" w:cstheme="minorBidi"/>
            <w:noProof/>
            <w:lang w:eastAsia="pl-PL"/>
          </w:rPr>
          <w:tab/>
        </w:r>
        <w:r w:rsidR="006E58B3" w:rsidRPr="00BB6C73">
          <w:rPr>
            <w:rStyle w:val="Hipercze"/>
            <w:noProof/>
          </w:rPr>
          <w:t>Opis stanu aktualnego (przed realizacją)</w:t>
        </w:r>
        <w:r w:rsidR="006E58B3">
          <w:rPr>
            <w:noProof/>
            <w:webHidden/>
          </w:rPr>
          <w:tab/>
        </w:r>
        <w:r w:rsidR="006E58B3">
          <w:rPr>
            <w:noProof/>
            <w:webHidden/>
          </w:rPr>
          <w:fldChar w:fldCharType="begin"/>
        </w:r>
        <w:r w:rsidR="006E58B3">
          <w:rPr>
            <w:noProof/>
            <w:webHidden/>
          </w:rPr>
          <w:instrText xml:space="preserve"> PAGEREF _Toc467746243 \h </w:instrText>
        </w:r>
        <w:r w:rsidR="006E58B3">
          <w:rPr>
            <w:noProof/>
            <w:webHidden/>
          </w:rPr>
        </w:r>
        <w:r w:rsidR="006E58B3">
          <w:rPr>
            <w:noProof/>
            <w:webHidden/>
          </w:rPr>
          <w:fldChar w:fldCharType="separate"/>
        </w:r>
        <w:r w:rsidR="006E58B3">
          <w:rPr>
            <w:noProof/>
            <w:webHidden/>
          </w:rPr>
          <w:t>18</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44" w:history="1">
        <w:r w:rsidR="006E58B3" w:rsidRPr="00BB6C73">
          <w:rPr>
            <w:rStyle w:val="Hipercze"/>
            <w:rFonts w:eastAsia="ArialNarrow,Bold"/>
            <w:noProof/>
          </w:rPr>
          <w:t>1.3.</w:t>
        </w:r>
        <w:r w:rsidR="006E58B3">
          <w:rPr>
            <w:rFonts w:asciiTheme="minorHAnsi" w:eastAsiaTheme="minorEastAsia" w:hAnsiTheme="minorHAnsi" w:cstheme="minorBidi"/>
            <w:noProof/>
            <w:lang w:eastAsia="pl-PL"/>
          </w:rPr>
          <w:tab/>
        </w:r>
        <w:r w:rsidR="006E58B3" w:rsidRPr="00BB6C73">
          <w:rPr>
            <w:rStyle w:val="Hipercze"/>
            <w:rFonts w:eastAsia="ArialNarrow,Bold"/>
            <w:noProof/>
          </w:rPr>
          <w:t>Opis stanu projektowanego</w:t>
        </w:r>
        <w:r w:rsidR="006E58B3">
          <w:rPr>
            <w:noProof/>
            <w:webHidden/>
          </w:rPr>
          <w:tab/>
        </w:r>
        <w:r w:rsidR="006E58B3">
          <w:rPr>
            <w:noProof/>
            <w:webHidden/>
          </w:rPr>
          <w:fldChar w:fldCharType="begin"/>
        </w:r>
        <w:r w:rsidR="006E58B3">
          <w:rPr>
            <w:noProof/>
            <w:webHidden/>
          </w:rPr>
          <w:instrText xml:space="preserve"> PAGEREF _Toc467746244 \h </w:instrText>
        </w:r>
        <w:r w:rsidR="006E58B3">
          <w:rPr>
            <w:noProof/>
            <w:webHidden/>
          </w:rPr>
        </w:r>
        <w:r w:rsidR="006E58B3">
          <w:rPr>
            <w:noProof/>
            <w:webHidden/>
          </w:rPr>
          <w:fldChar w:fldCharType="separate"/>
        </w:r>
        <w:r w:rsidR="006E58B3">
          <w:rPr>
            <w:noProof/>
            <w:webHidden/>
          </w:rPr>
          <w:t>18</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45" w:history="1">
        <w:r w:rsidR="006E58B3" w:rsidRPr="00BB6C73">
          <w:rPr>
            <w:rStyle w:val="Hipercze"/>
            <w:noProof/>
          </w:rPr>
          <w:t>1.4.</w:t>
        </w:r>
        <w:r w:rsidR="006E58B3">
          <w:rPr>
            <w:rFonts w:asciiTheme="minorHAnsi" w:eastAsiaTheme="minorEastAsia" w:hAnsiTheme="minorHAnsi" w:cstheme="minorBidi"/>
            <w:noProof/>
            <w:lang w:eastAsia="pl-PL"/>
          </w:rPr>
          <w:tab/>
        </w:r>
        <w:r w:rsidR="006E58B3" w:rsidRPr="00BB6C73">
          <w:rPr>
            <w:rStyle w:val="Hipercze"/>
            <w:noProof/>
          </w:rPr>
          <w:t>Lokalizacja projektu</w:t>
        </w:r>
        <w:r w:rsidR="006E58B3">
          <w:rPr>
            <w:noProof/>
            <w:webHidden/>
          </w:rPr>
          <w:tab/>
        </w:r>
        <w:r w:rsidR="006E58B3">
          <w:rPr>
            <w:noProof/>
            <w:webHidden/>
          </w:rPr>
          <w:fldChar w:fldCharType="begin"/>
        </w:r>
        <w:r w:rsidR="006E58B3">
          <w:rPr>
            <w:noProof/>
            <w:webHidden/>
          </w:rPr>
          <w:instrText xml:space="preserve"> PAGEREF _Toc467746245 \h </w:instrText>
        </w:r>
        <w:r w:rsidR="006E58B3">
          <w:rPr>
            <w:noProof/>
            <w:webHidden/>
          </w:rPr>
        </w:r>
        <w:r w:rsidR="006E58B3">
          <w:rPr>
            <w:noProof/>
            <w:webHidden/>
          </w:rPr>
          <w:fldChar w:fldCharType="separate"/>
        </w:r>
        <w:r w:rsidR="006E58B3">
          <w:rPr>
            <w:noProof/>
            <w:webHidden/>
          </w:rPr>
          <w:t>20</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46" w:history="1">
        <w:r w:rsidR="006E58B3" w:rsidRPr="00BB6C73">
          <w:rPr>
            <w:rStyle w:val="Hipercze"/>
            <w:rFonts w:eastAsia="ArialNarrow,Bold"/>
            <w:noProof/>
          </w:rPr>
          <w:t>1.5.</w:t>
        </w:r>
        <w:r w:rsidR="006E58B3">
          <w:rPr>
            <w:rFonts w:asciiTheme="minorHAnsi" w:eastAsiaTheme="minorEastAsia" w:hAnsiTheme="minorHAnsi" w:cstheme="minorBidi"/>
            <w:noProof/>
            <w:lang w:eastAsia="pl-PL"/>
          </w:rPr>
          <w:tab/>
        </w:r>
        <w:r w:rsidR="006E58B3" w:rsidRPr="00BB6C73">
          <w:rPr>
            <w:rStyle w:val="Hipercze"/>
            <w:rFonts w:eastAsia="ArialNarrow,Bold"/>
            <w:noProof/>
          </w:rPr>
          <w:t>Analiza pomocy publicznej</w:t>
        </w:r>
        <w:r w:rsidR="006E58B3">
          <w:rPr>
            <w:noProof/>
            <w:webHidden/>
          </w:rPr>
          <w:tab/>
        </w:r>
        <w:r w:rsidR="006E58B3">
          <w:rPr>
            <w:noProof/>
            <w:webHidden/>
          </w:rPr>
          <w:fldChar w:fldCharType="begin"/>
        </w:r>
        <w:r w:rsidR="006E58B3">
          <w:rPr>
            <w:noProof/>
            <w:webHidden/>
          </w:rPr>
          <w:instrText xml:space="preserve"> PAGEREF _Toc467746246 \h </w:instrText>
        </w:r>
        <w:r w:rsidR="006E58B3">
          <w:rPr>
            <w:noProof/>
            <w:webHidden/>
          </w:rPr>
        </w:r>
        <w:r w:rsidR="006E58B3">
          <w:rPr>
            <w:noProof/>
            <w:webHidden/>
          </w:rPr>
          <w:fldChar w:fldCharType="separate"/>
        </w:r>
        <w:r w:rsidR="006E58B3">
          <w:rPr>
            <w:noProof/>
            <w:webHidden/>
          </w:rPr>
          <w:t>21</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47" w:history="1">
        <w:r w:rsidR="006E58B3" w:rsidRPr="00BB6C73">
          <w:rPr>
            <w:rStyle w:val="Hipercze"/>
            <w:noProof/>
          </w:rPr>
          <w:t>2.</w:t>
        </w:r>
        <w:r w:rsidR="006E58B3">
          <w:rPr>
            <w:rFonts w:asciiTheme="minorHAnsi" w:eastAsiaTheme="minorEastAsia" w:hAnsiTheme="minorHAnsi" w:cstheme="minorBidi"/>
            <w:noProof/>
            <w:lang w:eastAsia="pl-PL"/>
          </w:rPr>
          <w:tab/>
        </w:r>
        <w:r w:rsidR="006E58B3" w:rsidRPr="00BB6C73">
          <w:rPr>
            <w:rStyle w:val="Hipercze"/>
            <w:noProof/>
          </w:rPr>
          <w:t>Definicja celów projektu</w:t>
        </w:r>
        <w:r w:rsidR="006E58B3">
          <w:rPr>
            <w:noProof/>
            <w:webHidden/>
          </w:rPr>
          <w:tab/>
        </w:r>
        <w:r w:rsidR="006E58B3">
          <w:rPr>
            <w:noProof/>
            <w:webHidden/>
          </w:rPr>
          <w:fldChar w:fldCharType="begin"/>
        </w:r>
        <w:r w:rsidR="006E58B3">
          <w:rPr>
            <w:noProof/>
            <w:webHidden/>
          </w:rPr>
          <w:instrText xml:space="preserve"> PAGEREF _Toc467746247 \h </w:instrText>
        </w:r>
        <w:r w:rsidR="006E58B3">
          <w:rPr>
            <w:noProof/>
            <w:webHidden/>
          </w:rPr>
        </w:r>
        <w:r w:rsidR="006E58B3">
          <w:rPr>
            <w:noProof/>
            <w:webHidden/>
          </w:rPr>
          <w:fldChar w:fldCharType="separate"/>
        </w:r>
        <w:r w:rsidR="006E58B3">
          <w:rPr>
            <w:noProof/>
            <w:webHidden/>
          </w:rPr>
          <w:t>22</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48" w:history="1">
        <w:r w:rsidR="006E58B3" w:rsidRPr="00BB6C73">
          <w:rPr>
            <w:rStyle w:val="Hipercze"/>
            <w:noProof/>
          </w:rPr>
          <w:t>2.1.</w:t>
        </w:r>
        <w:r w:rsidR="006E58B3">
          <w:rPr>
            <w:rFonts w:asciiTheme="minorHAnsi" w:eastAsiaTheme="minorEastAsia" w:hAnsiTheme="minorHAnsi" w:cstheme="minorBidi"/>
            <w:noProof/>
            <w:lang w:eastAsia="pl-PL"/>
          </w:rPr>
          <w:tab/>
        </w:r>
        <w:r w:rsidR="006E58B3" w:rsidRPr="00BB6C73">
          <w:rPr>
            <w:rStyle w:val="Hipercze"/>
            <w:noProof/>
          </w:rPr>
          <w:t>Wskaźniki realizacji celów projektu</w:t>
        </w:r>
        <w:r w:rsidR="006E58B3">
          <w:rPr>
            <w:noProof/>
            <w:webHidden/>
          </w:rPr>
          <w:tab/>
        </w:r>
        <w:r w:rsidR="006E58B3">
          <w:rPr>
            <w:noProof/>
            <w:webHidden/>
          </w:rPr>
          <w:fldChar w:fldCharType="begin"/>
        </w:r>
        <w:r w:rsidR="006E58B3">
          <w:rPr>
            <w:noProof/>
            <w:webHidden/>
          </w:rPr>
          <w:instrText xml:space="preserve"> PAGEREF _Toc467746248 \h </w:instrText>
        </w:r>
        <w:r w:rsidR="006E58B3">
          <w:rPr>
            <w:noProof/>
            <w:webHidden/>
          </w:rPr>
        </w:r>
        <w:r w:rsidR="006E58B3">
          <w:rPr>
            <w:noProof/>
            <w:webHidden/>
          </w:rPr>
          <w:fldChar w:fldCharType="separate"/>
        </w:r>
        <w:r w:rsidR="006E58B3">
          <w:rPr>
            <w:noProof/>
            <w:webHidden/>
          </w:rPr>
          <w:t>23</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49" w:history="1">
        <w:r w:rsidR="006E58B3" w:rsidRPr="00BB6C73">
          <w:rPr>
            <w:rStyle w:val="Hipercze"/>
            <w:rFonts w:cs="Arial"/>
            <w:noProof/>
          </w:rPr>
          <w:t>3.</w:t>
        </w:r>
        <w:r w:rsidR="006E58B3">
          <w:rPr>
            <w:rFonts w:asciiTheme="minorHAnsi" w:eastAsiaTheme="minorEastAsia" w:hAnsiTheme="minorHAnsi" w:cstheme="minorBidi"/>
            <w:noProof/>
            <w:lang w:eastAsia="pl-PL"/>
          </w:rPr>
          <w:tab/>
        </w:r>
        <w:r w:rsidR="006E58B3" w:rsidRPr="00BB6C73">
          <w:rPr>
            <w:rStyle w:val="Hipercze"/>
            <w:noProof/>
          </w:rPr>
          <w:t>Komplementarność i spójność projektu z innymi przedsięwzięciami oraz zgodność z innymi programami, strategiami branżowymi</w:t>
        </w:r>
        <w:r w:rsidR="006E58B3">
          <w:rPr>
            <w:noProof/>
            <w:webHidden/>
          </w:rPr>
          <w:tab/>
        </w:r>
        <w:r w:rsidR="006E58B3">
          <w:rPr>
            <w:noProof/>
            <w:webHidden/>
          </w:rPr>
          <w:fldChar w:fldCharType="begin"/>
        </w:r>
        <w:r w:rsidR="006E58B3">
          <w:rPr>
            <w:noProof/>
            <w:webHidden/>
          </w:rPr>
          <w:instrText xml:space="preserve"> PAGEREF _Toc467746249 \h </w:instrText>
        </w:r>
        <w:r w:rsidR="006E58B3">
          <w:rPr>
            <w:noProof/>
            <w:webHidden/>
          </w:rPr>
        </w:r>
        <w:r w:rsidR="006E58B3">
          <w:rPr>
            <w:noProof/>
            <w:webHidden/>
          </w:rPr>
          <w:fldChar w:fldCharType="separate"/>
        </w:r>
        <w:r w:rsidR="006E58B3">
          <w:rPr>
            <w:noProof/>
            <w:webHidden/>
          </w:rPr>
          <w:t>24</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50" w:history="1">
        <w:r w:rsidR="006E58B3" w:rsidRPr="00BB6C73">
          <w:rPr>
            <w:rStyle w:val="Hipercze"/>
            <w:noProof/>
          </w:rPr>
          <w:t>4.</w:t>
        </w:r>
        <w:r w:rsidR="006E58B3">
          <w:rPr>
            <w:rFonts w:asciiTheme="minorHAnsi" w:eastAsiaTheme="minorEastAsia" w:hAnsiTheme="minorHAnsi" w:cstheme="minorBidi"/>
            <w:noProof/>
            <w:lang w:eastAsia="pl-PL"/>
          </w:rPr>
          <w:tab/>
        </w:r>
        <w:r w:rsidR="006E58B3" w:rsidRPr="00BB6C73">
          <w:rPr>
            <w:rStyle w:val="Hipercze"/>
            <w:noProof/>
          </w:rPr>
          <w:t>Instytucjonalna i prawna wykonalność projektu</w:t>
        </w:r>
        <w:r w:rsidR="006E58B3">
          <w:rPr>
            <w:noProof/>
            <w:webHidden/>
          </w:rPr>
          <w:tab/>
        </w:r>
        <w:r w:rsidR="006E58B3">
          <w:rPr>
            <w:noProof/>
            <w:webHidden/>
          </w:rPr>
          <w:fldChar w:fldCharType="begin"/>
        </w:r>
        <w:r w:rsidR="006E58B3">
          <w:rPr>
            <w:noProof/>
            <w:webHidden/>
          </w:rPr>
          <w:instrText xml:space="preserve"> PAGEREF _Toc467746250 \h </w:instrText>
        </w:r>
        <w:r w:rsidR="006E58B3">
          <w:rPr>
            <w:noProof/>
            <w:webHidden/>
          </w:rPr>
        </w:r>
        <w:r w:rsidR="006E58B3">
          <w:rPr>
            <w:noProof/>
            <w:webHidden/>
          </w:rPr>
          <w:fldChar w:fldCharType="separate"/>
        </w:r>
        <w:r w:rsidR="006E58B3">
          <w:rPr>
            <w:noProof/>
            <w:webHidden/>
          </w:rPr>
          <w:t>24</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1" w:history="1">
        <w:r w:rsidR="006E58B3" w:rsidRPr="00BB6C73">
          <w:rPr>
            <w:rStyle w:val="Hipercze"/>
            <w:noProof/>
          </w:rPr>
          <w:t>4.1.</w:t>
        </w:r>
        <w:r w:rsidR="006E58B3">
          <w:rPr>
            <w:rFonts w:asciiTheme="minorHAnsi" w:eastAsiaTheme="minorEastAsia" w:hAnsiTheme="minorHAnsi" w:cstheme="minorBidi"/>
            <w:noProof/>
            <w:lang w:eastAsia="pl-PL"/>
          </w:rPr>
          <w:tab/>
        </w:r>
        <w:r w:rsidR="006E58B3" w:rsidRPr="00BB6C73">
          <w:rPr>
            <w:rStyle w:val="Hipercze"/>
            <w:noProof/>
          </w:rPr>
          <w:t>Analiza instytucjonalna</w:t>
        </w:r>
        <w:r w:rsidR="006E58B3">
          <w:rPr>
            <w:noProof/>
            <w:webHidden/>
          </w:rPr>
          <w:tab/>
        </w:r>
        <w:r w:rsidR="006E58B3">
          <w:rPr>
            <w:noProof/>
            <w:webHidden/>
          </w:rPr>
          <w:fldChar w:fldCharType="begin"/>
        </w:r>
        <w:r w:rsidR="006E58B3">
          <w:rPr>
            <w:noProof/>
            <w:webHidden/>
          </w:rPr>
          <w:instrText xml:space="preserve"> PAGEREF _Toc467746251 \h </w:instrText>
        </w:r>
        <w:r w:rsidR="006E58B3">
          <w:rPr>
            <w:noProof/>
            <w:webHidden/>
          </w:rPr>
        </w:r>
        <w:r w:rsidR="006E58B3">
          <w:rPr>
            <w:noProof/>
            <w:webHidden/>
          </w:rPr>
          <w:fldChar w:fldCharType="separate"/>
        </w:r>
        <w:r w:rsidR="006E58B3">
          <w:rPr>
            <w:noProof/>
            <w:webHidden/>
          </w:rPr>
          <w:t>24</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2" w:history="1">
        <w:r w:rsidR="006E58B3" w:rsidRPr="00BB6C73">
          <w:rPr>
            <w:rStyle w:val="Hipercze"/>
            <w:noProof/>
          </w:rPr>
          <w:t>4.2.</w:t>
        </w:r>
        <w:r w:rsidR="006E58B3">
          <w:rPr>
            <w:rFonts w:asciiTheme="minorHAnsi" w:eastAsiaTheme="minorEastAsia" w:hAnsiTheme="minorHAnsi" w:cstheme="minorBidi"/>
            <w:noProof/>
            <w:lang w:eastAsia="pl-PL"/>
          </w:rPr>
          <w:tab/>
        </w:r>
        <w:r w:rsidR="006E58B3" w:rsidRPr="00BB6C73">
          <w:rPr>
            <w:rStyle w:val="Hipercze"/>
            <w:noProof/>
          </w:rPr>
          <w:t>Analiza prawna</w:t>
        </w:r>
        <w:r w:rsidR="006E58B3">
          <w:rPr>
            <w:noProof/>
            <w:webHidden/>
          </w:rPr>
          <w:tab/>
        </w:r>
        <w:r w:rsidR="006E58B3">
          <w:rPr>
            <w:noProof/>
            <w:webHidden/>
          </w:rPr>
          <w:fldChar w:fldCharType="begin"/>
        </w:r>
        <w:r w:rsidR="006E58B3">
          <w:rPr>
            <w:noProof/>
            <w:webHidden/>
          </w:rPr>
          <w:instrText xml:space="preserve"> PAGEREF _Toc467746252 \h </w:instrText>
        </w:r>
        <w:r w:rsidR="006E58B3">
          <w:rPr>
            <w:noProof/>
            <w:webHidden/>
          </w:rPr>
        </w:r>
        <w:r w:rsidR="006E58B3">
          <w:rPr>
            <w:noProof/>
            <w:webHidden/>
          </w:rPr>
          <w:fldChar w:fldCharType="separate"/>
        </w:r>
        <w:r w:rsidR="006E58B3">
          <w:rPr>
            <w:noProof/>
            <w:webHidden/>
          </w:rPr>
          <w:t>25</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3" w:history="1">
        <w:r w:rsidR="006E58B3" w:rsidRPr="00BB6C73">
          <w:rPr>
            <w:rStyle w:val="Hipercze"/>
            <w:noProof/>
          </w:rPr>
          <w:t>4.3.</w:t>
        </w:r>
        <w:r w:rsidR="006E58B3">
          <w:rPr>
            <w:rFonts w:asciiTheme="minorHAnsi" w:eastAsiaTheme="minorEastAsia" w:hAnsiTheme="minorHAnsi" w:cstheme="minorBidi"/>
            <w:noProof/>
            <w:lang w:eastAsia="pl-PL"/>
          </w:rPr>
          <w:tab/>
        </w:r>
        <w:r w:rsidR="006E58B3" w:rsidRPr="00BB6C73">
          <w:rPr>
            <w:rStyle w:val="Hipercze"/>
            <w:noProof/>
          </w:rPr>
          <w:t>Analiza trwałości</w:t>
        </w:r>
        <w:r w:rsidR="006E58B3">
          <w:rPr>
            <w:noProof/>
            <w:webHidden/>
          </w:rPr>
          <w:tab/>
        </w:r>
        <w:r w:rsidR="006E58B3">
          <w:rPr>
            <w:noProof/>
            <w:webHidden/>
          </w:rPr>
          <w:fldChar w:fldCharType="begin"/>
        </w:r>
        <w:r w:rsidR="006E58B3">
          <w:rPr>
            <w:noProof/>
            <w:webHidden/>
          </w:rPr>
          <w:instrText xml:space="preserve"> PAGEREF _Toc467746253 \h </w:instrText>
        </w:r>
        <w:r w:rsidR="006E58B3">
          <w:rPr>
            <w:noProof/>
            <w:webHidden/>
          </w:rPr>
        </w:r>
        <w:r w:rsidR="006E58B3">
          <w:rPr>
            <w:noProof/>
            <w:webHidden/>
          </w:rPr>
          <w:fldChar w:fldCharType="separate"/>
        </w:r>
        <w:r w:rsidR="006E58B3">
          <w:rPr>
            <w:noProof/>
            <w:webHidden/>
          </w:rPr>
          <w:t>25</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4" w:history="1">
        <w:r w:rsidR="006E58B3" w:rsidRPr="00BB6C73">
          <w:rPr>
            <w:rStyle w:val="Hipercze"/>
            <w:noProof/>
          </w:rPr>
          <w:t>4.4.</w:t>
        </w:r>
        <w:r w:rsidR="006E58B3">
          <w:rPr>
            <w:rFonts w:asciiTheme="minorHAnsi" w:eastAsiaTheme="minorEastAsia" w:hAnsiTheme="minorHAnsi" w:cstheme="minorBidi"/>
            <w:noProof/>
            <w:lang w:eastAsia="pl-PL"/>
          </w:rPr>
          <w:tab/>
        </w:r>
        <w:r w:rsidR="006E58B3" w:rsidRPr="00BB6C73">
          <w:rPr>
            <w:rStyle w:val="Hipercze"/>
            <w:noProof/>
          </w:rPr>
          <w:t>Harmonogram wdrożenia projektu</w:t>
        </w:r>
        <w:r w:rsidR="006E58B3">
          <w:rPr>
            <w:noProof/>
            <w:webHidden/>
          </w:rPr>
          <w:tab/>
        </w:r>
        <w:r w:rsidR="006E58B3">
          <w:rPr>
            <w:noProof/>
            <w:webHidden/>
          </w:rPr>
          <w:fldChar w:fldCharType="begin"/>
        </w:r>
        <w:r w:rsidR="006E58B3">
          <w:rPr>
            <w:noProof/>
            <w:webHidden/>
          </w:rPr>
          <w:instrText xml:space="preserve"> PAGEREF _Toc467746254 \h </w:instrText>
        </w:r>
        <w:r w:rsidR="006E58B3">
          <w:rPr>
            <w:noProof/>
            <w:webHidden/>
          </w:rPr>
        </w:r>
        <w:r w:rsidR="006E58B3">
          <w:rPr>
            <w:noProof/>
            <w:webHidden/>
          </w:rPr>
          <w:fldChar w:fldCharType="separate"/>
        </w:r>
        <w:r w:rsidR="006E58B3">
          <w:rPr>
            <w:noProof/>
            <w:webHidden/>
          </w:rPr>
          <w:t>26</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55" w:history="1">
        <w:r w:rsidR="006E58B3" w:rsidRPr="00BB6C73">
          <w:rPr>
            <w:rStyle w:val="Hipercze"/>
            <w:noProof/>
          </w:rPr>
          <w:t>5.</w:t>
        </w:r>
        <w:r w:rsidR="006E58B3">
          <w:rPr>
            <w:rFonts w:asciiTheme="minorHAnsi" w:eastAsiaTheme="minorEastAsia" w:hAnsiTheme="minorHAnsi" w:cstheme="minorBidi"/>
            <w:noProof/>
            <w:lang w:eastAsia="pl-PL"/>
          </w:rPr>
          <w:tab/>
        </w:r>
        <w:r w:rsidR="006E58B3" w:rsidRPr="00BB6C73">
          <w:rPr>
            <w:rStyle w:val="Hipercze"/>
            <w:noProof/>
          </w:rPr>
          <w:t>Analiza wykonalności, analiza popytu oraz analiza opcji</w:t>
        </w:r>
        <w:r w:rsidR="006E58B3">
          <w:rPr>
            <w:noProof/>
            <w:webHidden/>
          </w:rPr>
          <w:tab/>
        </w:r>
        <w:r w:rsidR="006E58B3">
          <w:rPr>
            <w:noProof/>
            <w:webHidden/>
          </w:rPr>
          <w:fldChar w:fldCharType="begin"/>
        </w:r>
        <w:r w:rsidR="006E58B3">
          <w:rPr>
            <w:noProof/>
            <w:webHidden/>
          </w:rPr>
          <w:instrText xml:space="preserve"> PAGEREF _Toc467746255 \h </w:instrText>
        </w:r>
        <w:r w:rsidR="006E58B3">
          <w:rPr>
            <w:noProof/>
            <w:webHidden/>
          </w:rPr>
        </w:r>
        <w:r w:rsidR="006E58B3">
          <w:rPr>
            <w:noProof/>
            <w:webHidden/>
          </w:rPr>
          <w:fldChar w:fldCharType="separate"/>
        </w:r>
        <w:r w:rsidR="006E58B3">
          <w:rPr>
            <w:noProof/>
            <w:webHidden/>
          </w:rPr>
          <w:t>26</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6" w:history="1">
        <w:r w:rsidR="006E58B3" w:rsidRPr="00BB6C73">
          <w:rPr>
            <w:rStyle w:val="Hipercze"/>
            <w:noProof/>
          </w:rPr>
          <w:t>5.1.</w:t>
        </w:r>
        <w:r w:rsidR="006E58B3">
          <w:rPr>
            <w:rFonts w:asciiTheme="minorHAnsi" w:eastAsiaTheme="minorEastAsia" w:hAnsiTheme="minorHAnsi" w:cstheme="minorBidi"/>
            <w:noProof/>
            <w:lang w:eastAsia="pl-PL"/>
          </w:rPr>
          <w:tab/>
        </w:r>
        <w:r w:rsidR="006E58B3" w:rsidRPr="00BB6C73">
          <w:rPr>
            <w:rStyle w:val="Hipercze"/>
            <w:noProof/>
          </w:rPr>
          <w:t>Analiza wykonalności</w:t>
        </w:r>
        <w:r w:rsidR="006E58B3">
          <w:rPr>
            <w:noProof/>
            <w:webHidden/>
          </w:rPr>
          <w:tab/>
        </w:r>
        <w:r w:rsidR="006E58B3">
          <w:rPr>
            <w:noProof/>
            <w:webHidden/>
          </w:rPr>
          <w:fldChar w:fldCharType="begin"/>
        </w:r>
        <w:r w:rsidR="006E58B3">
          <w:rPr>
            <w:noProof/>
            <w:webHidden/>
          </w:rPr>
          <w:instrText xml:space="preserve"> PAGEREF _Toc467746256 \h </w:instrText>
        </w:r>
        <w:r w:rsidR="006E58B3">
          <w:rPr>
            <w:noProof/>
            <w:webHidden/>
          </w:rPr>
        </w:r>
        <w:r w:rsidR="006E58B3">
          <w:rPr>
            <w:noProof/>
            <w:webHidden/>
          </w:rPr>
          <w:fldChar w:fldCharType="separate"/>
        </w:r>
        <w:r w:rsidR="006E58B3">
          <w:rPr>
            <w:noProof/>
            <w:webHidden/>
          </w:rPr>
          <w:t>27</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7" w:history="1">
        <w:r w:rsidR="006E58B3" w:rsidRPr="00BB6C73">
          <w:rPr>
            <w:rStyle w:val="Hipercze"/>
            <w:noProof/>
          </w:rPr>
          <w:t>5.2.</w:t>
        </w:r>
        <w:r w:rsidR="006E58B3">
          <w:rPr>
            <w:rFonts w:asciiTheme="minorHAnsi" w:eastAsiaTheme="minorEastAsia" w:hAnsiTheme="minorHAnsi" w:cstheme="minorBidi"/>
            <w:noProof/>
            <w:lang w:eastAsia="pl-PL"/>
          </w:rPr>
          <w:tab/>
        </w:r>
        <w:r w:rsidR="006E58B3" w:rsidRPr="00BB6C73">
          <w:rPr>
            <w:rStyle w:val="Hipercze"/>
            <w:noProof/>
          </w:rPr>
          <w:t>Analiza popytu</w:t>
        </w:r>
        <w:r w:rsidR="006E58B3">
          <w:rPr>
            <w:noProof/>
            <w:webHidden/>
          </w:rPr>
          <w:tab/>
        </w:r>
        <w:r w:rsidR="006E58B3">
          <w:rPr>
            <w:noProof/>
            <w:webHidden/>
          </w:rPr>
          <w:fldChar w:fldCharType="begin"/>
        </w:r>
        <w:r w:rsidR="006E58B3">
          <w:rPr>
            <w:noProof/>
            <w:webHidden/>
          </w:rPr>
          <w:instrText xml:space="preserve"> PAGEREF _Toc467746257 \h </w:instrText>
        </w:r>
        <w:r w:rsidR="006E58B3">
          <w:rPr>
            <w:noProof/>
            <w:webHidden/>
          </w:rPr>
        </w:r>
        <w:r w:rsidR="006E58B3">
          <w:rPr>
            <w:noProof/>
            <w:webHidden/>
          </w:rPr>
          <w:fldChar w:fldCharType="separate"/>
        </w:r>
        <w:r w:rsidR="006E58B3">
          <w:rPr>
            <w:noProof/>
            <w:webHidden/>
          </w:rPr>
          <w:t>27</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8" w:history="1">
        <w:r w:rsidR="006E58B3" w:rsidRPr="00BB6C73">
          <w:rPr>
            <w:rStyle w:val="Hipercze"/>
            <w:noProof/>
          </w:rPr>
          <w:t>5.3.</w:t>
        </w:r>
        <w:r w:rsidR="006E58B3">
          <w:rPr>
            <w:rFonts w:asciiTheme="minorHAnsi" w:eastAsiaTheme="minorEastAsia" w:hAnsiTheme="minorHAnsi" w:cstheme="minorBidi"/>
            <w:noProof/>
            <w:lang w:eastAsia="pl-PL"/>
          </w:rPr>
          <w:tab/>
        </w:r>
        <w:r w:rsidR="006E58B3" w:rsidRPr="00BB6C73">
          <w:rPr>
            <w:rStyle w:val="Hipercze"/>
            <w:noProof/>
          </w:rPr>
          <w:t>Analiza opcji (rozwiązań alternatywnych)</w:t>
        </w:r>
        <w:r w:rsidR="006E58B3">
          <w:rPr>
            <w:noProof/>
            <w:webHidden/>
          </w:rPr>
          <w:tab/>
        </w:r>
        <w:r w:rsidR="006E58B3">
          <w:rPr>
            <w:noProof/>
            <w:webHidden/>
          </w:rPr>
          <w:fldChar w:fldCharType="begin"/>
        </w:r>
        <w:r w:rsidR="006E58B3">
          <w:rPr>
            <w:noProof/>
            <w:webHidden/>
          </w:rPr>
          <w:instrText xml:space="preserve"> PAGEREF _Toc467746258 \h </w:instrText>
        </w:r>
        <w:r w:rsidR="006E58B3">
          <w:rPr>
            <w:noProof/>
            <w:webHidden/>
          </w:rPr>
        </w:r>
        <w:r w:rsidR="006E58B3">
          <w:rPr>
            <w:noProof/>
            <w:webHidden/>
          </w:rPr>
          <w:fldChar w:fldCharType="separate"/>
        </w:r>
        <w:r w:rsidR="006E58B3">
          <w:rPr>
            <w:noProof/>
            <w:webHidden/>
          </w:rPr>
          <w:t>28</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59" w:history="1">
        <w:r w:rsidR="006E58B3" w:rsidRPr="00BB6C73">
          <w:rPr>
            <w:rStyle w:val="Hipercze"/>
            <w:noProof/>
          </w:rPr>
          <w:t>5.4.</w:t>
        </w:r>
        <w:r w:rsidR="006E58B3">
          <w:rPr>
            <w:rFonts w:asciiTheme="minorHAnsi" w:eastAsiaTheme="minorEastAsia" w:hAnsiTheme="minorHAnsi" w:cstheme="minorBidi"/>
            <w:noProof/>
            <w:lang w:eastAsia="pl-PL"/>
          </w:rPr>
          <w:tab/>
        </w:r>
        <w:r w:rsidR="006E58B3" w:rsidRPr="00BB6C73">
          <w:rPr>
            <w:rStyle w:val="Hipercze"/>
            <w:noProof/>
          </w:rPr>
          <w:t>Zastosowane rozwiązanie</w:t>
        </w:r>
        <w:r w:rsidR="006E58B3">
          <w:rPr>
            <w:noProof/>
            <w:webHidden/>
          </w:rPr>
          <w:tab/>
        </w:r>
        <w:r w:rsidR="006E58B3">
          <w:rPr>
            <w:noProof/>
            <w:webHidden/>
          </w:rPr>
          <w:fldChar w:fldCharType="begin"/>
        </w:r>
        <w:r w:rsidR="006E58B3">
          <w:rPr>
            <w:noProof/>
            <w:webHidden/>
          </w:rPr>
          <w:instrText xml:space="preserve"> PAGEREF _Toc467746259 \h </w:instrText>
        </w:r>
        <w:r w:rsidR="006E58B3">
          <w:rPr>
            <w:noProof/>
            <w:webHidden/>
          </w:rPr>
        </w:r>
        <w:r w:rsidR="006E58B3">
          <w:rPr>
            <w:noProof/>
            <w:webHidden/>
          </w:rPr>
          <w:fldChar w:fldCharType="separate"/>
        </w:r>
        <w:r w:rsidR="006E58B3">
          <w:rPr>
            <w:noProof/>
            <w:webHidden/>
          </w:rPr>
          <w:t>35</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60" w:history="1">
        <w:r w:rsidR="006E58B3" w:rsidRPr="00BB6C73">
          <w:rPr>
            <w:rStyle w:val="Hipercze"/>
            <w:noProof/>
          </w:rPr>
          <w:t>6.</w:t>
        </w:r>
        <w:r w:rsidR="006E58B3">
          <w:rPr>
            <w:rFonts w:asciiTheme="minorHAnsi" w:eastAsiaTheme="minorEastAsia" w:hAnsiTheme="minorHAnsi" w:cstheme="minorBidi"/>
            <w:noProof/>
            <w:lang w:eastAsia="pl-PL"/>
          </w:rPr>
          <w:tab/>
        </w:r>
        <w:r w:rsidR="006E58B3" w:rsidRPr="00BB6C73">
          <w:rPr>
            <w:rStyle w:val="Hipercze"/>
            <w:noProof/>
          </w:rPr>
          <w:t>Analiza finansowa</w:t>
        </w:r>
        <w:r w:rsidR="006E58B3">
          <w:rPr>
            <w:noProof/>
            <w:webHidden/>
          </w:rPr>
          <w:tab/>
        </w:r>
        <w:r w:rsidR="006E58B3">
          <w:rPr>
            <w:noProof/>
            <w:webHidden/>
          </w:rPr>
          <w:fldChar w:fldCharType="begin"/>
        </w:r>
        <w:r w:rsidR="006E58B3">
          <w:rPr>
            <w:noProof/>
            <w:webHidden/>
          </w:rPr>
          <w:instrText xml:space="preserve"> PAGEREF _Toc467746260 \h </w:instrText>
        </w:r>
        <w:r w:rsidR="006E58B3">
          <w:rPr>
            <w:noProof/>
            <w:webHidden/>
          </w:rPr>
        </w:r>
        <w:r w:rsidR="006E58B3">
          <w:rPr>
            <w:noProof/>
            <w:webHidden/>
          </w:rPr>
          <w:fldChar w:fldCharType="separate"/>
        </w:r>
        <w:r w:rsidR="006E58B3">
          <w:rPr>
            <w:noProof/>
            <w:webHidden/>
          </w:rPr>
          <w:t>35</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1" w:history="1">
        <w:r w:rsidR="006E58B3" w:rsidRPr="00BB6C73">
          <w:rPr>
            <w:rStyle w:val="Hipercze"/>
            <w:noProof/>
          </w:rPr>
          <w:t>6.1.</w:t>
        </w:r>
        <w:r w:rsidR="006E58B3">
          <w:rPr>
            <w:rFonts w:asciiTheme="minorHAnsi" w:eastAsiaTheme="minorEastAsia" w:hAnsiTheme="minorHAnsi" w:cstheme="minorBidi"/>
            <w:noProof/>
            <w:lang w:eastAsia="pl-PL"/>
          </w:rPr>
          <w:tab/>
        </w:r>
        <w:r w:rsidR="006E58B3" w:rsidRPr="00BB6C73">
          <w:rPr>
            <w:rStyle w:val="Hipercze"/>
            <w:noProof/>
          </w:rPr>
          <w:t>Nakłady inwestycyjne</w:t>
        </w:r>
        <w:r w:rsidR="006E58B3">
          <w:rPr>
            <w:noProof/>
            <w:webHidden/>
          </w:rPr>
          <w:tab/>
        </w:r>
        <w:r w:rsidR="006E58B3">
          <w:rPr>
            <w:noProof/>
            <w:webHidden/>
          </w:rPr>
          <w:fldChar w:fldCharType="begin"/>
        </w:r>
        <w:r w:rsidR="006E58B3">
          <w:rPr>
            <w:noProof/>
            <w:webHidden/>
          </w:rPr>
          <w:instrText xml:space="preserve"> PAGEREF _Toc467746261 \h </w:instrText>
        </w:r>
        <w:r w:rsidR="006E58B3">
          <w:rPr>
            <w:noProof/>
            <w:webHidden/>
          </w:rPr>
        </w:r>
        <w:r w:rsidR="006E58B3">
          <w:rPr>
            <w:noProof/>
            <w:webHidden/>
          </w:rPr>
          <w:fldChar w:fldCharType="separate"/>
        </w:r>
        <w:r w:rsidR="006E58B3">
          <w:rPr>
            <w:noProof/>
            <w:webHidden/>
          </w:rPr>
          <w:t>36</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2" w:history="1">
        <w:r w:rsidR="006E58B3" w:rsidRPr="00BB6C73">
          <w:rPr>
            <w:rStyle w:val="Hipercze"/>
            <w:noProof/>
          </w:rPr>
          <w:t>6.2.</w:t>
        </w:r>
        <w:r w:rsidR="006E58B3">
          <w:rPr>
            <w:rFonts w:asciiTheme="minorHAnsi" w:eastAsiaTheme="minorEastAsia" w:hAnsiTheme="minorHAnsi" w:cstheme="minorBidi"/>
            <w:noProof/>
            <w:lang w:eastAsia="pl-PL"/>
          </w:rPr>
          <w:tab/>
        </w:r>
        <w:r w:rsidR="006E58B3" w:rsidRPr="00BB6C73">
          <w:rPr>
            <w:rStyle w:val="Hipercze"/>
            <w:noProof/>
          </w:rPr>
          <w:t>Ogólna metodyka przeprowadzania analizy finansowej</w:t>
        </w:r>
        <w:r w:rsidR="006E58B3">
          <w:rPr>
            <w:noProof/>
            <w:webHidden/>
          </w:rPr>
          <w:tab/>
        </w:r>
        <w:r w:rsidR="006E58B3">
          <w:rPr>
            <w:noProof/>
            <w:webHidden/>
          </w:rPr>
          <w:fldChar w:fldCharType="begin"/>
        </w:r>
        <w:r w:rsidR="006E58B3">
          <w:rPr>
            <w:noProof/>
            <w:webHidden/>
          </w:rPr>
          <w:instrText xml:space="preserve"> PAGEREF _Toc467746262 \h </w:instrText>
        </w:r>
        <w:r w:rsidR="006E58B3">
          <w:rPr>
            <w:noProof/>
            <w:webHidden/>
          </w:rPr>
        </w:r>
        <w:r w:rsidR="006E58B3">
          <w:rPr>
            <w:noProof/>
            <w:webHidden/>
          </w:rPr>
          <w:fldChar w:fldCharType="separate"/>
        </w:r>
        <w:r w:rsidR="006E58B3">
          <w:rPr>
            <w:noProof/>
            <w:webHidden/>
          </w:rPr>
          <w:t>36</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3" w:history="1">
        <w:r w:rsidR="006E58B3" w:rsidRPr="00BB6C73">
          <w:rPr>
            <w:rStyle w:val="Hipercze"/>
            <w:noProof/>
          </w:rPr>
          <w:t>6.3.</w:t>
        </w:r>
        <w:r w:rsidR="006E58B3">
          <w:rPr>
            <w:rFonts w:asciiTheme="minorHAnsi" w:eastAsiaTheme="minorEastAsia" w:hAnsiTheme="minorHAnsi" w:cstheme="minorBidi"/>
            <w:noProof/>
            <w:lang w:eastAsia="pl-PL"/>
          </w:rPr>
          <w:tab/>
        </w:r>
        <w:r w:rsidR="006E58B3" w:rsidRPr="00BB6C73">
          <w:rPr>
            <w:rStyle w:val="Hipercze"/>
            <w:noProof/>
          </w:rPr>
          <w:t>Założenia do analizy finansowej</w:t>
        </w:r>
        <w:r w:rsidR="006E58B3">
          <w:rPr>
            <w:noProof/>
            <w:webHidden/>
          </w:rPr>
          <w:tab/>
        </w:r>
        <w:r w:rsidR="006E58B3">
          <w:rPr>
            <w:noProof/>
            <w:webHidden/>
          </w:rPr>
          <w:fldChar w:fldCharType="begin"/>
        </w:r>
        <w:r w:rsidR="006E58B3">
          <w:rPr>
            <w:noProof/>
            <w:webHidden/>
          </w:rPr>
          <w:instrText xml:space="preserve"> PAGEREF _Toc467746263 \h </w:instrText>
        </w:r>
        <w:r w:rsidR="006E58B3">
          <w:rPr>
            <w:noProof/>
            <w:webHidden/>
          </w:rPr>
        </w:r>
        <w:r w:rsidR="006E58B3">
          <w:rPr>
            <w:noProof/>
            <w:webHidden/>
          </w:rPr>
          <w:fldChar w:fldCharType="separate"/>
        </w:r>
        <w:r w:rsidR="006E58B3">
          <w:rPr>
            <w:noProof/>
            <w:webHidden/>
          </w:rPr>
          <w:t>37</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4" w:history="1">
        <w:r w:rsidR="006E58B3" w:rsidRPr="00BB6C73">
          <w:rPr>
            <w:rStyle w:val="Hipercze"/>
            <w:noProof/>
          </w:rPr>
          <w:t>6.4.</w:t>
        </w:r>
        <w:r w:rsidR="006E58B3">
          <w:rPr>
            <w:rFonts w:asciiTheme="minorHAnsi" w:eastAsiaTheme="minorEastAsia" w:hAnsiTheme="minorHAnsi" w:cstheme="minorBidi"/>
            <w:noProof/>
            <w:lang w:eastAsia="pl-PL"/>
          </w:rPr>
          <w:tab/>
        </w:r>
        <w:r w:rsidR="006E58B3" w:rsidRPr="00BB6C73">
          <w:rPr>
            <w:rStyle w:val="Hipercze"/>
            <w:noProof/>
          </w:rPr>
          <w:t>Określenie przychodów</w:t>
        </w:r>
        <w:r w:rsidR="006E58B3">
          <w:rPr>
            <w:noProof/>
            <w:webHidden/>
          </w:rPr>
          <w:tab/>
        </w:r>
        <w:r w:rsidR="006E58B3">
          <w:rPr>
            <w:noProof/>
            <w:webHidden/>
          </w:rPr>
          <w:fldChar w:fldCharType="begin"/>
        </w:r>
        <w:r w:rsidR="006E58B3">
          <w:rPr>
            <w:noProof/>
            <w:webHidden/>
          </w:rPr>
          <w:instrText xml:space="preserve"> PAGEREF _Toc467746264 \h </w:instrText>
        </w:r>
        <w:r w:rsidR="006E58B3">
          <w:rPr>
            <w:noProof/>
            <w:webHidden/>
          </w:rPr>
        </w:r>
        <w:r w:rsidR="006E58B3">
          <w:rPr>
            <w:noProof/>
            <w:webHidden/>
          </w:rPr>
          <w:fldChar w:fldCharType="separate"/>
        </w:r>
        <w:r w:rsidR="006E58B3">
          <w:rPr>
            <w:noProof/>
            <w:webHidden/>
          </w:rPr>
          <w:t>39</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5" w:history="1">
        <w:r w:rsidR="006E58B3" w:rsidRPr="00BB6C73">
          <w:rPr>
            <w:rStyle w:val="Hipercze"/>
            <w:noProof/>
          </w:rPr>
          <w:t>6.5.</w:t>
        </w:r>
        <w:r w:rsidR="006E58B3">
          <w:rPr>
            <w:rFonts w:asciiTheme="minorHAnsi" w:eastAsiaTheme="minorEastAsia" w:hAnsiTheme="minorHAnsi" w:cstheme="minorBidi"/>
            <w:noProof/>
            <w:lang w:eastAsia="pl-PL"/>
          </w:rPr>
          <w:tab/>
        </w:r>
        <w:r w:rsidR="006E58B3" w:rsidRPr="00BB6C73">
          <w:rPr>
            <w:rStyle w:val="Hipercze"/>
            <w:noProof/>
          </w:rPr>
          <w:t>Metoda luki w finansowaniu</w:t>
        </w:r>
        <w:r w:rsidR="006E58B3">
          <w:rPr>
            <w:noProof/>
            <w:webHidden/>
          </w:rPr>
          <w:tab/>
        </w:r>
        <w:r w:rsidR="006E58B3">
          <w:rPr>
            <w:noProof/>
            <w:webHidden/>
          </w:rPr>
          <w:fldChar w:fldCharType="begin"/>
        </w:r>
        <w:r w:rsidR="006E58B3">
          <w:rPr>
            <w:noProof/>
            <w:webHidden/>
          </w:rPr>
          <w:instrText xml:space="preserve"> PAGEREF _Toc467746265 \h </w:instrText>
        </w:r>
        <w:r w:rsidR="006E58B3">
          <w:rPr>
            <w:noProof/>
            <w:webHidden/>
          </w:rPr>
        </w:r>
        <w:r w:rsidR="006E58B3">
          <w:rPr>
            <w:noProof/>
            <w:webHidden/>
          </w:rPr>
          <w:fldChar w:fldCharType="separate"/>
        </w:r>
        <w:r w:rsidR="006E58B3">
          <w:rPr>
            <w:noProof/>
            <w:webHidden/>
          </w:rPr>
          <w:t>41</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6" w:history="1">
        <w:r w:rsidR="006E58B3" w:rsidRPr="00BB6C73">
          <w:rPr>
            <w:rStyle w:val="Hipercze"/>
            <w:noProof/>
          </w:rPr>
          <w:t>6.6.</w:t>
        </w:r>
        <w:r w:rsidR="006E58B3">
          <w:rPr>
            <w:rFonts w:asciiTheme="minorHAnsi" w:eastAsiaTheme="minorEastAsia" w:hAnsiTheme="minorHAnsi" w:cstheme="minorBidi"/>
            <w:noProof/>
            <w:lang w:eastAsia="pl-PL"/>
          </w:rPr>
          <w:tab/>
        </w:r>
        <w:r w:rsidR="006E58B3" w:rsidRPr="00BB6C73">
          <w:rPr>
            <w:rStyle w:val="Hipercze"/>
            <w:noProof/>
          </w:rPr>
          <w:t>Metoda zryczałtowanych procentowych stawek dochodów</w:t>
        </w:r>
        <w:r w:rsidR="006E58B3">
          <w:rPr>
            <w:noProof/>
            <w:webHidden/>
          </w:rPr>
          <w:tab/>
        </w:r>
        <w:r w:rsidR="006E58B3">
          <w:rPr>
            <w:noProof/>
            <w:webHidden/>
          </w:rPr>
          <w:fldChar w:fldCharType="begin"/>
        </w:r>
        <w:r w:rsidR="006E58B3">
          <w:rPr>
            <w:noProof/>
            <w:webHidden/>
          </w:rPr>
          <w:instrText xml:space="preserve"> PAGEREF _Toc467746266 \h </w:instrText>
        </w:r>
        <w:r w:rsidR="006E58B3">
          <w:rPr>
            <w:noProof/>
            <w:webHidden/>
          </w:rPr>
        </w:r>
        <w:r w:rsidR="006E58B3">
          <w:rPr>
            <w:noProof/>
            <w:webHidden/>
          </w:rPr>
          <w:fldChar w:fldCharType="separate"/>
        </w:r>
        <w:r w:rsidR="006E58B3">
          <w:rPr>
            <w:noProof/>
            <w:webHidden/>
          </w:rPr>
          <w:t>43</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7" w:history="1">
        <w:r w:rsidR="006E58B3" w:rsidRPr="00BB6C73">
          <w:rPr>
            <w:rStyle w:val="Hipercze"/>
            <w:noProof/>
          </w:rPr>
          <w:t>6.7.</w:t>
        </w:r>
        <w:r w:rsidR="006E58B3">
          <w:rPr>
            <w:rFonts w:asciiTheme="minorHAnsi" w:eastAsiaTheme="minorEastAsia" w:hAnsiTheme="minorHAnsi" w:cstheme="minorBidi"/>
            <w:noProof/>
            <w:lang w:eastAsia="pl-PL"/>
          </w:rPr>
          <w:tab/>
        </w:r>
        <w:r w:rsidR="006E58B3" w:rsidRPr="00BB6C73">
          <w:rPr>
            <w:rStyle w:val="Hipercze"/>
            <w:noProof/>
          </w:rPr>
          <w:t>Wskaźniki efektywności finansowej</w:t>
        </w:r>
        <w:r w:rsidR="006E58B3">
          <w:rPr>
            <w:noProof/>
            <w:webHidden/>
          </w:rPr>
          <w:tab/>
        </w:r>
        <w:r w:rsidR="006E58B3">
          <w:rPr>
            <w:noProof/>
            <w:webHidden/>
          </w:rPr>
          <w:fldChar w:fldCharType="begin"/>
        </w:r>
        <w:r w:rsidR="006E58B3">
          <w:rPr>
            <w:noProof/>
            <w:webHidden/>
          </w:rPr>
          <w:instrText xml:space="preserve"> PAGEREF _Toc467746267 \h </w:instrText>
        </w:r>
        <w:r w:rsidR="006E58B3">
          <w:rPr>
            <w:noProof/>
            <w:webHidden/>
          </w:rPr>
        </w:r>
        <w:r w:rsidR="006E58B3">
          <w:rPr>
            <w:noProof/>
            <w:webHidden/>
          </w:rPr>
          <w:fldChar w:fldCharType="separate"/>
        </w:r>
        <w:r w:rsidR="006E58B3">
          <w:rPr>
            <w:noProof/>
            <w:webHidden/>
          </w:rPr>
          <w:t>45</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68" w:history="1">
        <w:r w:rsidR="006E58B3" w:rsidRPr="00BB6C73">
          <w:rPr>
            <w:rStyle w:val="Hipercze"/>
            <w:noProof/>
          </w:rPr>
          <w:t>6.8.</w:t>
        </w:r>
        <w:r w:rsidR="006E58B3">
          <w:rPr>
            <w:rFonts w:asciiTheme="minorHAnsi" w:eastAsiaTheme="minorEastAsia" w:hAnsiTheme="minorHAnsi" w:cstheme="minorBidi"/>
            <w:noProof/>
            <w:lang w:eastAsia="pl-PL"/>
          </w:rPr>
          <w:tab/>
        </w:r>
        <w:r w:rsidR="006E58B3" w:rsidRPr="00BB6C73">
          <w:rPr>
            <w:rStyle w:val="Hipercze"/>
            <w:noProof/>
          </w:rPr>
          <w:t>Analiza trwałości finansowej</w:t>
        </w:r>
        <w:r w:rsidR="006E58B3">
          <w:rPr>
            <w:noProof/>
            <w:webHidden/>
          </w:rPr>
          <w:tab/>
        </w:r>
        <w:r w:rsidR="006E58B3">
          <w:rPr>
            <w:noProof/>
            <w:webHidden/>
          </w:rPr>
          <w:fldChar w:fldCharType="begin"/>
        </w:r>
        <w:r w:rsidR="006E58B3">
          <w:rPr>
            <w:noProof/>
            <w:webHidden/>
          </w:rPr>
          <w:instrText xml:space="preserve"> PAGEREF _Toc467746268 \h </w:instrText>
        </w:r>
        <w:r w:rsidR="006E58B3">
          <w:rPr>
            <w:noProof/>
            <w:webHidden/>
          </w:rPr>
        </w:r>
        <w:r w:rsidR="006E58B3">
          <w:rPr>
            <w:noProof/>
            <w:webHidden/>
          </w:rPr>
          <w:fldChar w:fldCharType="separate"/>
        </w:r>
        <w:r w:rsidR="006E58B3">
          <w:rPr>
            <w:noProof/>
            <w:webHidden/>
          </w:rPr>
          <w:t>46</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69" w:history="1">
        <w:r w:rsidR="006E58B3" w:rsidRPr="00BB6C73">
          <w:rPr>
            <w:rStyle w:val="Hipercze"/>
            <w:noProof/>
          </w:rPr>
          <w:t>7.</w:t>
        </w:r>
        <w:r w:rsidR="006E58B3">
          <w:rPr>
            <w:rFonts w:asciiTheme="minorHAnsi" w:eastAsiaTheme="minorEastAsia" w:hAnsiTheme="minorHAnsi" w:cstheme="minorBidi"/>
            <w:noProof/>
            <w:lang w:eastAsia="pl-PL"/>
          </w:rPr>
          <w:tab/>
        </w:r>
        <w:r w:rsidR="006E58B3" w:rsidRPr="00BB6C73">
          <w:rPr>
            <w:rStyle w:val="Hipercze"/>
            <w:noProof/>
          </w:rPr>
          <w:t>Analiza kosztów i korzyści</w:t>
        </w:r>
        <w:r w:rsidR="006E58B3">
          <w:rPr>
            <w:noProof/>
            <w:webHidden/>
          </w:rPr>
          <w:tab/>
        </w:r>
        <w:r w:rsidR="006E58B3">
          <w:rPr>
            <w:noProof/>
            <w:webHidden/>
          </w:rPr>
          <w:fldChar w:fldCharType="begin"/>
        </w:r>
        <w:r w:rsidR="006E58B3">
          <w:rPr>
            <w:noProof/>
            <w:webHidden/>
          </w:rPr>
          <w:instrText xml:space="preserve"> PAGEREF _Toc467746269 \h </w:instrText>
        </w:r>
        <w:r w:rsidR="006E58B3">
          <w:rPr>
            <w:noProof/>
            <w:webHidden/>
          </w:rPr>
        </w:r>
        <w:r w:rsidR="006E58B3">
          <w:rPr>
            <w:noProof/>
            <w:webHidden/>
          </w:rPr>
          <w:fldChar w:fldCharType="separate"/>
        </w:r>
        <w:r w:rsidR="006E58B3">
          <w:rPr>
            <w:noProof/>
            <w:webHidden/>
          </w:rPr>
          <w:t>47</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70" w:history="1">
        <w:r w:rsidR="006E58B3" w:rsidRPr="00BB6C73">
          <w:rPr>
            <w:rStyle w:val="Hipercze"/>
            <w:noProof/>
          </w:rPr>
          <w:t>8.</w:t>
        </w:r>
        <w:r w:rsidR="006E58B3">
          <w:rPr>
            <w:rFonts w:asciiTheme="minorHAnsi" w:eastAsiaTheme="minorEastAsia" w:hAnsiTheme="minorHAnsi" w:cstheme="minorBidi"/>
            <w:noProof/>
            <w:lang w:eastAsia="pl-PL"/>
          </w:rPr>
          <w:tab/>
        </w:r>
        <w:r w:rsidR="006E58B3" w:rsidRPr="00BB6C73">
          <w:rPr>
            <w:rStyle w:val="Hipercze"/>
            <w:noProof/>
          </w:rPr>
          <w:t>Analiza wrażliwości i ryzyka</w:t>
        </w:r>
        <w:r w:rsidR="006E58B3">
          <w:rPr>
            <w:noProof/>
            <w:webHidden/>
          </w:rPr>
          <w:tab/>
        </w:r>
        <w:r w:rsidR="006E58B3">
          <w:rPr>
            <w:noProof/>
            <w:webHidden/>
          </w:rPr>
          <w:fldChar w:fldCharType="begin"/>
        </w:r>
        <w:r w:rsidR="006E58B3">
          <w:rPr>
            <w:noProof/>
            <w:webHidden/>
          </w:rPr>
          <w:instrText xml:space="preserve"> PAGEREF _Toc467746270 \h </w:instrText>
        </w:r>
        <w:r w:rsidR="006E58B3">
          <w:rPr>
            <w:noProof/>
            <w:webHidden/>
          </w:rPr>
        </w:r>
        <w:r w:rsidR="006E58B3">
          <w:rPr>
            <w:noProof/>
            <w:webHidden/>
          </w:rPr>
          <w:fldChar w:fldCharType="separate"/>
        </w:r>
        <w:r w:rsidR="006E58B3">
          <w:rPr>
            <w:noProof/>
            <w:webHidden/>
          </w:rPr>
          <w:t>48</w:t>
        </w:r>
        <w:r w:rsidR="006E58B3">
          <w:rPr>
            <w:noProof/>
            <w:webHidden/>
          </w:rPr>
          <w:fldChar w:fldCharType="end"/>
        </w:r>
      </w:hyperlink>
    </w:p>
    <w:p w:rsidR="006E58B3" w:rsidRDefault="00A65703">
      <w:pPr>
        <w:pStyle w:val="Spistreci1"/>
        <w:tabs>
          <w:tab w:val="left" w:pos="440"/>
          <w:tab w:val="right" w:leader="dot" w:pos="10456"/>
        </w:tabs>
        <w:rPr>
          <w:rFonts w:asciiTheme="minorHAnsi" w:eastAsiaTheme="minorEastAsia" w:hAnsiTheme="minorHAnsi" w:cstheme="minorBidi"/>
          <w:noProof/>
          <w:lang w:eastAsia="pl-PL"/>
        </w:rPr>
      </w:pPr>
      <w:hyperlink w:anchor="_Toc467746271" w:history="1">
        <w:r w:rsidR="006E58B3" w:rsidRPr="00BB6C73">
          <w:rPr>
            <w:rStyle w:val="Hipercze"/>
            <w:noProof/>
          </w:rPr>
          <w:t>9.</w:t>
        </w:r>
        <w:r w:rsidR="006E58B3">
          <w:rPr>
            <w:rFonts w:asciiTheme="minorHAnsi" w:eastAsiaTheme="minorEastAsia" w:hAnsiTheme="minorHAnsi" w:cstheme="minorBidi"/>
            <w:noProof/>
            <w:lang w:eastAsia="pl-PL"/>
          </w:rPr>
          <w:tab/>
        </w:r>
        <w:r w:rsidR="006E58B3" w:rsidRPr="00BB6C73">
          <w:rPr>
            <w:rStyle w:val="Hipercze"/>
            <w:noProof/>
          </w:rPr>
          <w:t>Analizy i informacje specyficzne dla danego rodzaju projektu lub sektora</w:t>
        </w:r>
        <w:r w:rsidR="006E58B3">
          <w:rPr>
            <w:noProof/>
            <w:webHidden/>
          </w:rPr>
          <w:tab/>
        </w:r>
        <w:r w:rsidR="006E58B3">
          <w:rPr>
            <w:noProof/>
            <w:webHidden/>
          </w:rPr>
          <w:fldChar w:fldCharType="begin"/>
        </w:r>
        <w:r w:rsidR="006E58B3">
          <w:rPr>
            <w:noProof/>
            <w:webHidden/>
          </w:rPr>
          <w:instrText xml:space="preserve"> PAGEREF _Toc467746271 \h </w:instrText>
        </w:r>
        <w:r w:rsidR="006E58B3">
          <w:rPr>
            <w:noProof/>
            <w:webHidden/>
          </w:rPr>
        </w:r>
        <w:r w:rsidR="006E58B3">
          <w:rPr>
            <w:noProof/>
            <w:webHidden/>
          </w:rPr>
          <w:fldChar w:fldCharType="separate"/>
        </w:r>
        <w:r w:rsidR="006E58B3">
          <w:rPr>
            <w:noProof/>
            <w:webHidden/>
          </w:rPr>
          <w:t>49</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72" w:history="1">
        <w:r w:rsidR="006E58B3" w:rsidRPr="00BB6C73">
          <w:rPr>
            <w:rStyle w:val="Hipercze"/>
            <w:noProof/>
          </w:rPr>
          <w:t>9.1.</w:t>
        </w:r>
        <w:r w:rsidR="006E58B3">
          <w:rPr>
            <w:rFonts w:asciiTheme="minorHAnsi" w:eastAsiaTheme="minorEastAsia" w:hAnsiTheme="minorHAnsi" w:cstheme="minorBidi"/>
            <w:noProof/>
            <w:lang w:eastAsia="pl-PL"/>
          </w:rPr>
          <w:tab/>
        </w:r>
        <w:r w:rsidR="006E58B3" w:rsidRPr="00BB6C73">
          <w:rPr>
            <w:rStyle w:val="Hipercze"/>
            <w:noProof/>
          </w:rPr>
          <w:t>Projekty hybrydowe</w:t>
        </w:r>
        <w:r w:rsidR="006E58B3">
          <w:rPr>
            <w:noProof/>
            <w:webHidden/>
          </w:rPr>
          <w:tab/>
        </w:r>
        <w:r w:rsidR="006E58B3">
          <w:rPr>
            <w:noProof/>
            <w:webHidden/>
          </w:rPr>
          <w:fldChar w:fldCharType="begin"/>
        </w:r>
        <w:r w:rsidR="006E58B3">
          <w:rPr>
            <w:noProof/>
            <w:webHidden/>
          </w:rPr>
          <w:instrText xml:space="preserve"> PAGEREF _Toc467746272 \h </w:instrText>
        </w:r>
        <w:r w:rsidR="006E58B3">
          <w:rPr>
            <w:noProof/>
            <w:webHidden/>
          </w:rPr>
        </w:r>
        <w:r w:rsidR="006E58B3">
          <w:rPr>
            <w:noProof/>
            <w:webHidden/>
          </w:rPr>
          <w:fldChar w:fldCharType="separate"/>
        </w:r>
        <w:r w:rsidR="006E58B3">
          <w:rPr>
            <w:noProof/>
            <w:webHidden/>
          </w:rPr>
          <w:t>49</w:t>
        </w:r>
        <w:r w:rsidR="006E58B3">
          <w:rPr>
            <w:noProof/>
            <w:webHidden/>
          </w:rPr>
          <w:fldChar w:fldCharType="end"/>
        </w:r>
      </w:hyperlink>
    </w:p>
    <w:p w:rsidR="006E58B3" w:rsidRDefault="00A65703">
      <w:pPr>
        <w:pStyle w:val="Spistreci2"/>
        <w:tabs>
          <w:tab w:val="left" w:pos="880"/>
          <w:tab w:val="right" w:leader="dot" w:pos="10456"/>
        </w:tabs>
        <w:rPr>
          <w:rFonts w:asciiTheme="minorHAnsi" w:eastAsiaTheme="minorEastAsia" w:hAnsiTheme="minorHAnsi" w:cstheme="minorBidi"/>
          <w:noProof/>
          <w:lang w:eastAsia="pl-PL"/>
        </w:rPr>
      </w:pPr>
      <w:hyperlink w:anchor="_Toc467746273" w:history="1">
        <w:r w:rsidR="006E58B3" w:rsidRPr="00BB6C73">
          <w:rPr>
            <w:rStyle w:val="Hipercze"/>
            <w:noProof/>
          </w:rPr>
          <w:t>9.2.</w:t>
        </w:r>
        <w:r w:rsidR="006E58B3">
          <w:rPr>
            <w:rFonts w:asciiTheme="minorHAnsi" w:eastAsiaTheme="minorEastAsia" w:hAnsiTheme="minorHAnsi" w:cstheme="minorBidi"/>
            <w:noProof/>
            <w:lang w:eastAsia="pl-PL"/>
          </w:rPr>
          <w:tab/>
        </w:r>
        <w:r w:rsidR="006E58B3" w:rsidRPr="00BB6C73">
          <w:rPr>
            <w:rStyle w:val="Hipercze"/>
            <w:noProof/>
          </w:rPr>
          <w:t>Poprawa efektywności energetycznej w sektorze publicznym i mieszkaniowym</w:t>
        </w:r>
        <w:r w:rsidR="006E58B3">
          <w:rPr>
            <w:noProof/>
            <w:webHidden/>
          </w:rPr>
          <w:tab/>
        </w:r>
        <w:r w:rsidR="006E58B3">
          <w:rPr>
            <w:noProof/>
            <w:webHidden/>
          </w:rPr>
          <w:fldChar w:fldCharType="begin"/>
        </w:r>
        <w:r w:rsidR="006E58B3">
          <w:rPr>
            <w:noProof/>
            <w:webHidden/>
          </w:rPr>
          <w:instrText xml:space="preserve"> PAGEREF _Toc467746273 \h </w:instrText>
        </w:r>
        <w:r w:rsidR="006E58B3">
          <w:rPr>
            <w:noProof/>
            <w:webHidden/>
          </w:rPr>
        </w:r>
        <w:r w:rsidR="006E58B3">
          <w:rPr>
            <w:noProof/>
            <w:webHidden/>
          </w:rPr>
          <w:fldChar w:fldCharType="separate"/>
        </w:r>
        <w:r w:rsidR="006E58B3">
          <w:rPr>
            <w:noProof/>
            <w:webHidden/>
          </w:rPr>
          <w:t>50</w:t>
        </w:r>
        <w:r w:rsidR="006E58B3">
          <w:rPr>
            <w:noProof/>
            <w:webHidden/>
          </w:rPr>
          <w:fldChar w:fldCharType="end"/>
        </w:r>
      </w:hyperlink>
    </w:p>
    <w:p w:rsidR="006E58B3" w:rsidRDefault="00A65703">
      <w:pPr>
        <w:pStyle w:val="Spistreci1"/>
        <w:tabs>
          <w:tab w:val="left" w:pos="660"/>
          <w:tab w:val="right" w:leader="dot" w:pos="10456"/>
        </w:tabs>
        <w:rPr>
          <w:rFonts w:asciiTheme="minorHAnsi" w:eastAsiaTheme="minorEastAsia" w:hAnsiTheme="minorHAnsi" w:cstheme="minorBidi"/>
          <w:noProof/>
          <w:lang w:eastAsia="pl-PL"/>
        </w:rPr>
      </w:pPr>
      <w:hyperlink w:anchor="_Toc467746275" w:history="1">
        <w:r w:rsidR="006E58B3" w:rsidRPr="00BB6C73">
          <w:rPr>
            <w:rStyle w:val="Hipercze"/>
            <w:noProof/>
          </w:rPr>
          <w:t>10.</w:t>
        </w:r>
        <w:r w:rsidR="006E58B3">
          <w:rPr>
            <w:rFonts w:asciiTheme="minorHAnsi" w:eastAsiaTheme="minorEastAsia" w:hAnsiTheme="minorHAnsi" w:cstheme="minorBidi"/>
            <w:noProof/>
            <w:lang w:eastAsia="pl-PL"/>
          </w:rPr>
          <w:tab/>
        </w:r>
        <w:r w:rsidR="006E58B3" w:rsidRPr="00BB6C73">
          <w:rPr>
            <w:rStyle w:val="Hipercze"/>
            <w:noProof/>
          </w:rPr>
          <w:t xml:space="preserve">Analiza potrzeb zdrowotnych Podstawowej Opieki Zdrowotnej </w:t>
        </w:r>
        <w:r w:rsidR="006E58B3" w:rsidRPr="00BB6C73">
          <w:rPr>
            <w:rStyle w:val="Hipercze"/>
            <w:noProof/>
            <w:lang w:eastAsia="pl-PL"/>
          </w:rPr>
          <w:t>(dotyczy POZ będących własnością gminy, znajdujących się poza mapami potrzeb zdrowotnych)</w:t>
        </w:r>
        <w:r w:rsidR="006E58B3">
          <w:rPr>
            <w:noProof/>
            <w:webHidden/>
          </w:rPr>
          <w:tab/>
        </w:r>
        <w:r w:rsidR="006E58B3">
          <w:rPr>
            <w:noProof/>
            <w:webHidden/>
          </w:rPr>
          <w:fldChar w:fldCharType="begin"/>
        </w:r>
        <w:r w:rsidR="006E58B3">
          <w:rPr>
            <w:noProof/>
            <w:webHidden/>
          </w:rPr>
          <w:instrText xml:space="preserve"> PAGEREF _Toc467746275 \h </w:instrText>
        </w:r>
        <w:r w:rsidR="006E58B3">
          <w:rPr>
            <w:noProof/>
            <w:webHidden/>
          </w:rPr>
        </w:r>
        <w:r w:rsidR="006E58B3">
          <w:rPr>
            <w:noProof/>
            <w:webHidden/>
          </w:rPr>
          <w:fldChar w:fldCharType="separate"/>
        </w:r>
        <w:r w:rsidR="006E58B3">
          <w:rPr>
            <w:noProof/>
            <w:webHidden/>
          </w:rPr>
          <w:t>52</w:t>
        </w:r>
        <w:r w:rsidR="006E58B3">
          <w:rPr>
            <w:noProof/>
            <w:webHidden/>
          </w:rPr>
          <w:fldChar w:fldCharType="end"/>
        </w:r>
      </w:hyperlink>
    </w:p>
    <w:p w:rsidR="006E58B3" w:rsidRDefault="00A65703">
      <w:pPr>
        <w:pStyle w:val="Spistreci1"/>
        <w:tabs>
          <w:tab w:val="left" w:pos="660"/>
          <w:tab w:val="right" w:leader="dot" w:pos="10456"/>
        </w:tabs>
        <w:rPr>
          <w:rFonts w:asciiTheme="minorHAnsi" w:eastAsiaTheme="minorEastAsia" w:hAnsiTheme="minorHAnsi" w:cstheme="minorBidi"/>
          <w:noProof/>
          <w:lang w:eastAsia="pl-PL"/>
        </w:rPr>
      </w:pPr>
      <w:hyperlink w:anchor="_Toc467746276" w:history="1">
        <w:r w:rsidR="006E58B3" w:rsidRPr="00BB6C73">
          <w:rPr>
            <w:rStyle w:val="Hipercze"/>
            <w:noProof/>
          </w:rPr>
          <w:t>11.</w:t>
        </w:r>
        <w:r w:rsidR="006E58B3">
          <w:rPr>
            <w:rFonts w:asciiTheme="minorHAnsi" w:eastAsiaTheme="minorEastAsia" w:hAnsiTheme="minorHAnsi" w:cstheme="minorBidi"/>
            <w:noProof/>
            <w:lang w:eastAsia="pl-PL"/>
          </w:rPr>
          <w:tab/>
        </w:r>
        <w:r w:rsidR="006E58B3" w:rsidRPr="00BB6C73">
          <w:rPr>
            <w:rStyle w:val="Hipercze"/>
            <w:noProof/>
          </w:rPr>
          <w:t>Analiza oddziaływania na środowisko</w:t>
        </w:r>
        <w:r w:rsidR="006E58B3">
          <w:rPr>
            <w:noProof/>
            <w:webHidden/>
          </w:rPr>
          <w:tab/>
        </w:r>
        <w:r w:rsidR="006E58B3">
          <w:rPr>
            <w:noProof/>
            <w:webHidden/>
          </w:rPr>
          <w:fldChar w:fldCharType="begin"/>
        </w:r>
        <w:r w:rsidR="006E58B3">
          <w:rPr>
            <w:noProof/>
            <w:webHidden/>
          </w:rPr>
          <w:instrText xml:space="preserve"> PAGEREF _Toc467746276 \h </w:instrText>
        </w:r>
        <w:r w:rsidR="006E58B3">
          <w:rPr>
            <w:noProof/>
            <w:webHidden/>
          </w:rPr>
        </w:r>
        <w:r w:rsidR="006E58B3">
          <w:rPr>
            <w:noProof/>
            <w:webHidden/>
          </w:rPr>
          <w:fldChar w:fldCharType="separate"/>
        </w:r>
        <w:r w:rsidR="006E58B3">
          <w:rPr>
            <w:noProof/>
            <w:webHidden/>
          </w:rPr>
          <w:t>52</w:t>
        </w:r>
        <w:r w:rsidR="006E58B3">
          <w:rPr>
            <w:noProof/>
            <w:webHidden/>
          </w:rPr>
          <w:fldChar w:fldCharType="end"/>
        </w:r>
      </w:hyperlink>
    </w:p>
    <w:p w:rsidR="006E58B3" w:rsidRDefault="00A65703">
      <w:pPr>
        <w:pStyle w:val="Spistreci2"/>
        <w:tabs>
          <w:tab w:val="left" w:pos="1100"/>
          <w:tab w:val="right" w:leader="dot" w:pos="10456"/>
        </w:tabs>
        <w:rPr>
          <w:rFonts w:asciiTheme="minorHAnsi" w:eastAsiaTheme="minorEastAsia" w:hAnsiTheme="minorHAnsi" w:cstheme="minorBidi"/>
          <w:noProof/>
          <w:lang w:eastAsia="pl-PL"/>
        </w:rPr>
      </w:pPr>
      <w:hyperlink w:anchor="_Toc467746277" w:history="1">
        <w:r w:rsidR="006E58B3" w:rsidRPr="00BB6C73">
          <w:rPr>
            <w:rStyle w:val="Hipercze"/>
            <w:noProof/>
          </w:rPr>
          <w:t>11.1.</w:t>
        </w:r>
        <w:r w:rsidR="006E58B3">
          <w:rPr>
            <w:rFonts w:asciiTheme="minorHAnsi" w:eastAsiaTheme="minorEastAsia" w:hAnsiTheme="minorHAnsi" w:cstheme="minorBidi"/>
            <w:noProof/>
            <w:lang w:eastAsia="pl-PL"/>
          </w:rPr>
          <w:tab/>
        </w:r>
        <w:r w:rsidR="006E58B3" w:rsidRPr="00BB6C73">
          <w:rPr>
            <w:rStyle w:val="Hipercze"/>
            <w:noProof/>
          </w:rPr>
          <w:t>Ocena oddziaływania na środowisko</w:t>
        </w:r>
        <w:r w:rsidR="006E58B3">
          <w:rPr>
            <w:noProof/>
            <w:webHidden/>
          </w:rPr>
          <w:tab/>
        </w:r>
        <w:r w:rsidR="006E58B3">
          <w:rPr>
            <w:noProof/>
            <w:webHidden/>
          </w:rPr>
          <w:fldChar w:fldCharType="begin"/>
        </w:r>
        <w:r w:rsidR="006E58B3">
          <w:rPr>
            <w:noProof/>
            <w:webHidden/>
          </w:rPr>
          <w:instrText xml:space="preserve"> PAGEREF _Toc467746277 \h </w:instrText>
        </w:r>
        <w:r w:rsidR="006E58B3">
          <w:rPr>
            <w:noProof/>
            <w:webHidden/>
          </w:rPr>
        </w:r>
        <w:r w:rsidR="006E58B3">
          <w:rPr>
            <w:noProof/>
            <w:webHidden/>
          </w:rPr>
          <w:fldChar w:fldCharType="separate"/>
        </w:r>
        <w:r w:rsidR="006E58B3">
          <w:rPr>
            <w:noProof/>
            <w:webHidden/>
          </w:rPr>
          <w:t>52</w:t>
        </w:r>
        <w:r w:rsidR="006E58B3">
          <w:rPr>
            <w:noProof/>
            <w:webHidden/>
          </w:rPr>
          <w:fldChar w:fldCharType="end"/>
        </w:r>
      </w:hyperlink>
    </w:p>
    <w:p w:rsidR="006E58B3" w:rsidRDefault="00A65703">
      <w:pPr>
        <w:pStyle w:val="Spistreci2"/>
        <w:tabs>
          <w:tab w:val="left" w:pos="1100"/>
          <w:tab w:val="right" w:leader="dot" w:pos="10456"/>
        </w:tabs>
        <w:rPr>
          <w:rFonts w:asciiTheme="minorHAnsi" w:eastAsiaTheme="minorEastAsia" w:hAnsiTheme="minorHAnsi" w:cstheme="minorBidi"/>
          <w:noProof/>
          <w:lang w:eastAsia="pl-PL"/>
        </w:rPr>
      </w:pPr>
      <w:hyperlink w:anchor="_Toc467746278" w:history="1">
        <w:r w:rsidR="006E58B3" w:rsidRPr="00BB6C73">
          <w:rPr>
            <w:rStyle w:val="Hipercze"/>
            <w:noProof/>
          </w:rPr>
          <w:t>11.2.</w:t>
        </w:r>
        <w:r w:rsidR="006E58B3">
          <w:rPr>
            <w:rFonts w:asciiTheme="minorHAnsi" w:eastAsiaTheme="minorEastAsia" w:hAnsiTheme="minorHAnsi" w:cstheme="minorBidi"/>
            <w:noProof/>
            <w:lang w:eastAsia="pl-PL"/>
          </w:rPr>
          <w:tab/>
        </w:r>
        <w:r w:rsidR="006E58B3" w:rsidRPr="00BB6C73">
          <w:rPr>
            <w:rStyle w:val="Hipercze"/>
            <w:noProof/>
          </w:rPr>
          <w:t>Wpływ na obszary Natura 2000</w:t>
        </w:r>
        <w:r w:rsidR="006E58B3">
          <w:rPr>
            <w:noProof/>
            <w:webHidden/>
          </w:rPr>
          <w:tab/>
        </w:r>
        <w:r w:rsidR="006E58B3">
          <w:rPr>
            <w:noProof/>
            <w:webHidden/>
          </w:rPr>
          <w:fldChar w:fldCharType="begin"/>
        </w:r>
        <w:r w:rsidR="006E58B3">
          <w:rPr>
            <w:noProof/>
            <w:webHidden/>
          </w:rPr>
          <w:instrText xml:space="preserve"> PAGEREF _Toc467746278 \h </w:instrText>
        </w:r>
        <w:r w:rsidR="006E58B3">
          <w:rPr>
            <w:noProof/>
            <w:webHidden/>
          </w:rPr>
        </w:r>
        <w:r w:rsidR="006E58B3">
          <w:rPr>
            <w:noProof/>
            <w:webHidden/>
          </w:rPr>
          <w:fldChar w:fldCharType="separate"/>
        </w:r>
        <w:r w:rsidR="006E58B3">
          <w:rPr>
            <w:noProof/>
            <w:webHidden/>
          </w:rPr>
          <w:t>53</w:t>
        </w:r>
        <w:r w:rsidR="006E58B3">
          <w:rPr>
            <w:noProof/>
            <w:webHidden/>
          </w:rPr>
          <w:fldChar w:fldCharType="end"/>
        </w:r>
      </w:hyperlink>
    </w:p>
    <w:p w:rsidR="006E58B3" w:rsidRDefault="00A65703">
      <w:pPr>
        <w:pStyle w:val="Spistreci2"/>
        <w:tabs>
          <w:tab w:val="left" w:pos="1100"/>
          <w:tab w:val="right" w:leader="dot" w:pos="10456"/>
        </w:tabs>
        <w:rPr>
          <w:rFonts w:asciiTheme="minorHAnsi" w:eastAsiaTheme="minorEastAsia" w:hAnsiTheme="minorHAnsi" w:cstheme="minorBidi"/>
          <w:noProof/>
          <w:lang w:eastAsia="pl-PL"/>
        </w:rPr>
      </w:pPr>
      <w:hyperlink w:anchor="_Toc467746279" w:history="1">
        <w:r w:rsidR="006E58B3" w:rsidRPr="00BB6C73">
          <w:rPr>
            <w:rStyle w:val="Hipercze"/>
            <w:noProof/>
          </w:rPr>
          <w:t>11.3.</w:t>
        </w:r>
        <w:r w:rsidR="006E58B3">
          <w:rPr>
            <w:rFonts w:asciiTheme="minorHAnsi" w:eastAsiaTheme="minorEastAsia" w:hAnsiTheme="minorHAnsi" w:cstheme="minorBidi"/>
            <w:noProof/>
            <w:lang w:eastAsia="pl-PL"/>
          </w:rPr>
          <w:tab/>
        </w:r>
        <w:r w:rsidR="006E58B3" w:rsidRPr="00BB6C73">
          <w:rPr>
            <w:rStyle w:val="Hipercze"/>
            <w:noProof/>
          </w:rPr>
          <w:t>Przystosowanie do zmiany klimatu, łagodzenie zmiany klimatu oraz odporność na klęski żywiołowe</w:t>
        </w:r>
        <w:r w:rsidR="006E58B3">
          <w:rPr>
            <w:noProof/>
            <w:webHidden/>
          </w:rPr>
          <w:tab/>
        </w:r>
        <w:r w:rsidR="006E58B3">
          <w:rPr>
            <w:noProof/>
            <w:webHidden/>
          </w:rPr>
          <w:fldChar w:fldCharType="begin"/>
        </w:r>
        <w:r w:rsidR="006E58B3">
          <w:rPr>
            <w:noProof/>
            <w:webHidden/>
          </w:rPr>
          <w:instrText xml:space="preserve"> PAGEREF _Toc467746279 \h </w:instrText>
        </w:r>
        <w:r w:rsidR="006E58B3">
          <w:rPr>
            <w:noProof/>
            <w:webHidden/>
          </w:rPr>
        </w:r>
        <w:r w:rsidR="006E58B3">
          <w:rPr>
            <w:noProof/>
            <w:webHidden/>
          </w:rPr>
          <w:fldChar w:fldCharType="separate"/>
        </w:r>
        <w:r w:rsidR="006E58B3">
          <w:rPr>
            <w:noProof/>
            <w:webHidden/>
          </w:rPr>
          <w:t>53</w:t>
        </w:r>
        <w:r w:rsidR="006E58B3">
          <w:rPr>
            <w:noProof/>
            <w:webHidden/>
          </w:rPr>
          <w:fldChar w:fldCharType="end"/>
        </w:r>
      </w:hyperlink>
    </w:p>
    <w:p w:rsidR="006E58B3" w:rsidRDefault="00A65703">
      <w:pPr>
        <w:pStyle w:val="Spistreci2"/>
        <w:tabs>
          <w:tab w:val="left" w:pos="1100"/>
          <w:tab w:val="right" w:leader="dot" w:pos="10456"/>
        </w:tabs>
        <w:rPr>
          <w:rFonts w:asciiTheme="minorHAnsi" w:eastAsiaTheme="minorEastAsia" w:hAnsiTheme="minorHAnsi" w:cstheme="minorBidi"/>
          <w:noProof/>
          <w:lang w:eastAsia="pl-PL"/>
        </w:rPr>
      </w:pPr>
      <w:hyperlink w:anchor="_Toc467746280" w:history="1">
        <w:r w:rsidR="006E58B3" w:rsidRPr="00BB6C73">
          <w:rPr>
            <w:rStyle w:val="Hipercze"/>
            <w:noProof/>
          </w:rPr>
          <w:t>11.4.</w:t>
        </w:r>
        <w:r w:rsidR="006E58B3">
          <w:rPr>
            <w:rFonts w:asciiTheme="minorHAnsi" w:eastAsiaTheme="minorEastAsia" w:hAnsiTheme="minorHAnsi" w:cstheme="minorBidi"/>
            <w:noProof/>
            <w:lang w:eastAsia="pl-PL"/>
          </w:rPr>
          <w:tab/>
        </w:r>
        <w:r w:rsidR="006E58B3" w:rsidRPr="00BB6C73">
          <w:rPr>
            <w:rStyle w:val="Hipercze"/>
            <w:noProof/>
          </w:rPr>
          <w:t>Wpływ na efektywne i racjonalne wykorzystywanie zasobów naturalnych oraz stosowanie rozwiązań przyjaznych środowisku</w:t>
        </w:r>
        <w:r w:rsidR="006E58B3">
          <w:rPr>
            <w:noProof/>
            <w:webHidden/>
          </w:rPr>
          <w:tab/>
        </w:r>
        <w:r w:rsidR="006E58B3">
          <w:rPr>
            <w:noProof/>
            <w:webHidden/>
          </w:rPr>
          <w:fldChar w:fldCharType="begin"/>
        </w:r>
        <w:r w:rsidR="006E58B3">
          <w:rPr>
            <w:noProof/>
            <w:webHidden/>
          </w:rPr>
          <w:instrText xml:space="preserve"> PAGEREF _Toc467746280 \h </w:instrText>
        </w:r>
        <w:r w:rsidR="006E58B3">
          <w:rPr>
            <w:noProof/>
            <w:webHidden/>
          </w:rPr>
        </w:r>
        <w:r w:rsidR="006E58B3">
          <w:rPr>
            <w:noProof/>
            <w:webHidden/>
          </w:rPr>
          <w:fldChar w:fldCharType="separate"/>
        </w:r>
        <w:r w:rsidR="006E58B3">
          <w:rPr>
            <w:noProof/>
            <w:webHidden/>
          </w:rPr>
          <w:t>54</w:t>
        </w:r>
        <w:r w:rsidR="006E58B3">
          <w:rPr>
            <w:noProof/>
            <w:webHidden/>
          </w:rPr>
          <w:fldChar w:fldCharType="end"/>
        </w:r>
      </w:hyperlink>
    </w:p>
    <w:p w:rsidR="006E58B3" w:rsidRDefault="00A65703">
      <w:pPr>
        <w:pStyle w:val="Spistreci1"/>
        <w:tabs>
          <w:tab w:val="left" w:pos="660"/>
          <w:tab w:val="right" w:leader="dot" w:pos="10456"/>
        </w:tabs>
        <w:rPr>
          <w:rFonts w:asciiTheme="minorHAnsi" w:eastAsiaTheme="minorEastAsia" w:hAnsiTheme="minorHAnsi" w:cstheme="minorBidi"/>
          <w:noProof/>
          <w:lang w:eastAsia="pl-PL"/>
        </w:rPr>
      </w:pPr>
      <w:hyperlink w:anchor="_Toc467746281" w:history="1">
        <w:r w:rsidR="006E58B3" w:rsidRPr="00BB6C73">
          <w:rPr>
            <w:rStyle w:val="Hipercze"/>
            <w:noProof/>
          </w:rPr>
          <w:t>12.</w:t>
        </w:r>
        <w:r w:rsidR="006E58B3">
          <w:rPr>
            <w:rFonts w:asciiTheme="minorHAnsi" w:eastAsiaTheme="minorEastAsia" w:hAnsiTheme="minorHAnsi" w:cstheme="minorBidi"/>
            <w:noProof/>
            <w:lang w:eastAsia="pl-PL"/>
          </w:rPr>
          <w:tab/>
        </w:r>
        <w:r w:rsidR="006E58B3" w:rsidRPr="00BB6C73">
          <w:rPr>
            <w:rStyle w:val="Hipercze"/>
            <w:noProof/>
          </w:rPr>
          <w:t>Promocja projektu</w:t>
        </w:r>
        <w:r w:rsidR="006E58B3">
          <w:rPr>
            <w:noProof/>
            <w:webHidden/>
          </w:rPr>
          <w:tab/>
        </w:r>
        <w:r w:rsidR="006E58B3">
          <w:rPr>
            <w:noProof/>
            <w:webHidden/>
          </w:rPr>
          <w:fldChar w:fldCharType="begin"/>
        </w:r>
        <w:r w:rsidR="006E58B3">
          <w:rPr>
            <w:noProof/>
            <w:webHidden/>
          </w:rPr>
          <w:instrText xml:space="preserve"> PAGEREF _Toc467746281 \h </w:instrText>
        </w:r>
        <w:r w:rsidR="006E58B3">
          <w:rPr>
            <w:noProof/>
            <w:webHidden/>
          </w:rPr>
        </w:r>
        <w:r w:rsidR="006E58B3">
          <w:rPr>
            <w:noProof/>
            <w:webHidden/>
          </w:rPr>
          <w:fldChar w:fldCharType="separate"/>
        </w:r>
        <w:r w:rsidR="006E58B3">
          <w:rPr>
            <w:noProof/>
            <w:webHidden/>
          </w:rPr>
          <w:t>54</w:t>
        </w:r>
        <w:r w:rsidR="006E58B3">
          <w:rPr>
            <w:noProof/>
            <w:webHidden/>
          </w:rPr>
          <w:fldChar w:fldCharType="end"/>
        </w:r>
      </w:hyperlink>
    </w:p>
    <w:p w:rsidR="006E58B3" w:rsidRDefault="00A65703">
      <w:pPr>
        <w:pStyle w:val="Spistreci1"/>
        <w:tabs>
          <w:tab w:val="left" w:pos="660"/>
          <w:tab w:val="right" w:leader="dot" w:pos="10456"/>
        </w:tabs>
        <w:rPr>
          <w:rFonts w:asciiTheme="minorHAnsi" w:eastAsiaTheme="minorEastAsia" w:hAnsiTheme="minorHAnsi" w:cstheme="minorBidi"/>
          <w:noProof/>
          <w:lang w:eastAsia="pl-PL"/>
        </w:rPr>
      </w:pPr>
      <w:hyperlink w:anchor="_Toc467746282" w:history="1">
        <w:r w:rsidR="006E58B3" w:rsidRPr="00BB6C73">
          <w:rPr>
            <w:rStyle w:val="Hipercze"/>
            <w:noProof/>
          </w:rPr>
          <w:t>13.</w:t>
        </w:r>
        <w:r w:rsidR="006E58B3">
          <w:rPr>
            <w:rFonts w:asciiTheme="minorHAnsi" w:eastAsiaTheme="minorEastAsia" w:hAnsiTheme="minorHAnsi" w:cstheme="minorBidi"/>
            <w:noProof/>
            <w:lang w:eastAsia="pl-PL"/>
          </w:rPr>
          <w:tab/>
        </w:r>
        <w:r w:rsidR="006E58B3" w:rsidRPr="00BB6C73">
          <w:rPr>
            <w:rStyle w:val="Hipercze"/>
            <w:noProof/>
          </w:rPr>
          <w:t>Wnioski i podsumowanie</w:t>
        </w:r>
        <w:r w:rsidR="006E58B3">
          <w:rPr>
            <w:noProof/>
            <w:webHidden/>
          </w:rPr>
          <w:tab/>
        </w:r>
        <w:r w:rsidR="006E58B3">
          <w:rPr>
            <w:noProof/>
            <w:webHidden/>
          </w:rPr>
          <w:fldChar w:fldCharType="begin"/>
        </w:r>
        <w:r w:rsidR="006E58B3">
          <w:rPr>
            <w:noProof/>
            <w:webHidden/>
          </w:rPr>
          <w:instrText xml:space="preserve"> PAGEREF _Toc467746282 \h </w:instrText>
        </w:r>
        <w:r w:rsidR="006E58B3">
          <w:rPr>
            <w:noProof/>
            <w:webHidden/>
          </w:rPr>
        </w:r>
        <w:r w:rsidR="006E58B3">
          <w:rPr>
            <w:noProof/>
            <w:webHidden/>
          </w:rPr>
          <w:fldChar w:fldCharType="separate"/>
        </w:r>
        <w:r w:rsidR="006E58B3">
          <w:rPr>
            <w:noProof/>
            <w:webHidden/>
          </w:rPr>
          <w:t>54</w:t>
        </w:r>
        <w:r w:rsidR="006E58B3">
          <w:rPr>
            <w:noProof/>
            <w:webHidden/>
          </w:rPr>
          <w:fldChar w:fldCharType="end"/>
        </w:r>
      </w:hyperlink>
    </w:p>
    <w:p w:rsidR="006E58B3" w:rsidRDefault="00A65703">
      <w:pPr>
        <w:pStyle w:val="Spistreci1"/>
        <w:tabs>
          <w:tab w:val="left" w:pos="660"/>
          <w:tab w:val="right" w:leader="dot" w:pos="10456"/>
        </w:tabs>
        <w:rPr>
          <w:rFonts w:asciiTheme="minorHAnsi" w:eastAsiaTheme="minorEastAsia" w:hAnsiTheme="minorHAnsi" w:cstheme="minorBidi"/>
          <w:noProof/>
          <w:lang w:eastAsia="pl-PL"/>
        </w:rPr>
      </w:pPr>
      <w:hyperlink w:anchor="_Toc467746283" w:history="1">
        <w:r w:rsidR="006E58B3" w:rsidRPr="00BB6C73">
          <w:rPr>
            <w:rStyle w:val="Hipercze"/>
            <w:noProof/>
          </w:rPr>
          <w:t>14.</w:t>
        </w:r>
        <w:r w:rsidR="006E58B3">
          <w:rPr>
            <w:rFonts w:asciiTheme="minorHAnsi" w:eastAsiaTheme="minorEastAsia" w:hAnsiTheme="minorHAnsi" w:cstheme="minorBidi"/>
            <w:noProof/>
            <w:lang w:eastAsia="pl-PL"/>
          </w:rPr>
          <w:tab/>
        </w:r>
        <w:r w:rsidR="006E58B3" w:rsidRPr="00BB6C73">
          <w:rPr>
            <w:rStyle w:val="Hipercze"/>
            <w:noProof/>
          </w:rPr>
          <w:t>Oświadczenie</w:t>
        </w:r>
        <w:r w:rsidR="006E58B3">
          <w:rPr>
            <w:noProof/>
            <w:webHidden/>
          </w:rPr>
          <w:tab/>
        </w:r>
        <w:r w:rsidR="006E58B3">
          <w:rPr>
            <w:noProof/>
            <w:webHidden/>
          </w:rPr>
          <w:fldChar w:fldCharType="begin"/>
        </w:r>
        <w:r w:rsidR="006E58B3">
          <w:rPr>
            <w:noProof/>
            <w:webHidden/>
          </w:rPr>
          <w:instrText xml:space="preserve"> PAGEREF _Toc467746283 \h </w:instrText>
        </w:r>
        <w:r w:rsidR="006E58B3">
          <w:rPr>
            <w:noProof/>
            <w:webHidden/>
          </w:rPr>
        </w:r>
        <w:r w:rsidR="006E58B3">
          <w:rPr>
            <w:noProof/>
            <w:webHidden/>
          </w:rPr>
          <w:fldChar w:fldCharType="separate"/>
        </w:r>
        <w:r w:rsidR="006E58B3">
          <w:rPr>
            <w:noProof/>
            <w:webHidden/>
          </w:rPr>
          <w:t>55</w:t>
        </w:r>
        <w:r w:rsidR="006E58B3">
          <w:rPr>
            <w:noProof/>
            <w:webHidden/>
          </w:rPr>
          <w:fldChar w:fldCharType="end"/>
        </w:r>
      </w:hyperlink>
    </w:p>
    <w:p w:rsidR="00767543" w:rsidRDefault="00951E3C" w:rsidP="00043312">
      <w:r>
        <w:fldChar w:fldCharType="end"/>
      </w:r>
    </w:p>
    <w:p w:rsidR="00F9645B" w:rsidRDefault="00F9645B" w:rsidP="00043312"/>
    <w:p w:rsidR="00F9645B" w:rsidRDefault="00F9645B" w:rsidP="00043312"/>
    <w:p w:rsidR="00F9645B" w:rsidRDefault="00F9645B" w:rsidP="00043312"/>
    <w:p w:rsidR="00554A9B" w:rsidRDefault="00554A9B" w:rsidP="00043312"/>
    <w:p w:rsidR="00820A51" w:rsidRDefault="00820A51" w:rsidP="00043312"/>
    <w:p w:rsidR="00320354" w:rsidRDefault="00320354" w:rsidP="00043312"/>
    <w:p w:rsidR="00320354" w:rsidRDefault="00320354" w:rsidP="00043312"/>
    <w:p w:rsidR="00320354" w:rsidRDefault="00320354" w:rsidP="00043312"/>
    <w:p w:rsidR="00BD6C1D" w:rsidRDefault="00BD6C1D" w:rsidP="00043312"/>
    <w:p w:rsidR="00320354" w:rsidRPr="00043312" w:rsidRDefault="00320354" w:rsidP="00043312"/>
    <w:p w:rsidR="004620AF" w:rsidRDefault="004620AF" w:rsidP="00DB1ABB">
      <w:pPr>
        <w:pStyle w:val="Nagwek1"/>
      </w:pPr>
      <w:bookmarkStart w:id="1" w:name="_Toc467746239"/>
      <w:r>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w:t>
      </w:r>
      <w:r w:rsidR="00646E62">
        <w:rPr>
          <w:rFonts w:cs="Calibri,Italic"/>
          <w:iCs/>
          <w:sz w:val="24"/>
          <w:szCs w:val="24"/>
        </w:rPr>
        <w:br/>
      </w:r>
      <w:r w:rsidRPr="004620AF">
        <w:rPr>
          <w:rFonts w:cs="Calibri,Italic"/>
          <w:iCs/>
          <w:sz w:val="24"/>
          <w:szCs w:val="24"/>
        </w:rPr>
        <w:t>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(WoD)</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lastRenderedPageBreak/>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r w:rsidR="00A36582">
        <w:rPr>
          <w:rFonts w:cs="Calibri,Italic"/>
          <w:iCs/>
          <w:sz w:val="24"/>
          <w:szCs w:val="24"/>
        </w:rPr>
        <w:t>WoD</w:t>
      </w:r>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we WoD</w:t>
      </w:r>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B06A4B" w:rsidP="00A36582">
      <w:pPr>
        <w:autoSpaceDE w:val="0"/>
        <w:autoSpaceDN w:val="0"/>
        <w:adjustRightInd w:val="0"/>
        <w:spacing w:after="0"/>
        <w:jc w:val="both"/>
        <w:rPr>
          <w:rFonts w:cs="Calibri,Italic"/>
          <w:iCs/>
          <w:sz w:val="24"/>
          <w:szCs w:val="24"/>
        </w:rPr>
      </w:pP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467746240"/>
      <w:r>
        <w:t>Słownik pojęć i skrótów</w:t>
      </w:r>
      <w:bookmarkEnd w:id="2"/>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r w:rsidR="002C64A0">
        <w:rPr>
          <w:i/>
          <w:iCs/>
          <w:sz w:val="24"/>
          <w:szCs w:val="24"/>
        </w:rPr>
        <w:t xml:space="preserve">Cost Effectiveness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r w:rsidRPr="00DB1ABB">
        <w:rPr>
          <w:i/>
          <w:iCs/>
          <w:sz w:val="24"/>
          <w:szCs w:val="24"/>
        </w:rPr>
        <w:t>Dynamic Generation Cost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r w:rsidRPr="00DB1ABB">
        <w:rPr>
          <w:rFonts w:eastAsia="Times New Roman"/>
          <w:bCs/>
          <w:i/>
          <w:iCs/>
          <w:kern w:val="32"/>
          <w:sz w:val="24"/>
          <w:szCs w:val="24"/>
        </w:rPr>
        <w:t>Discounted Cash Flows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r w:rsidRPr="00DB1ABB">
        <w:rPr>
          <w:rFonts w:eastAsia="Times New Roman"/>
          <w:bCs/>
          <w:i/>
          <w:iCs/>
          <w:kern w:val="32"/>
          <w:sz w:val="24"/>
          <w:szCs w:val="24"/>
        </w:rPr>
        <w:t>Cost-Benefit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r w:rsidRPr="00DB1ABB">
        <w:rPr>
          <w:rFonts w:eastAsia="Times New Roman"/>
          <w:bCs/>
          <w:i/>
          <w:iCs/>
          <w:kern w:val="32"/>
          <w:sz w:val="24"/>
          <w:szCs w:val="24"/>
        </w:rPr>
        <w:t>benefits</w:t>
      </w:r>
      <w:r w:rsidRPr="00DB1ABB">
        <w:rPr>
          <w:rFonts w:eastAsia="Times New Roman"/>
          <w:bCs/>
          <w:kern w:val="32"/>
          <w:sz w:val="24"/>
          <w:szCs w:val="24"/>
        </w:rPr>
        <w:t xml:space="preserve">) i straty (koszty – ang. </w:t>
      </w:r>
      <w:r w:rsidRPr="00DB1ABB">
        <w:rPr>
          <w:rFonts w:eastAsia="Times New Roman"/>
          <w:bCs/>
          <w:i/>
          <w:iCs/>
          <w:kern w:val="32"/>
          <w:sz w:val="24"/>
          <w:szCs w:val="24"/>
        </w:rPr>
        <w:t>costs</w:t>
      </w:r>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w:t>
      </w:r>
      <w:r w:rsidR="00DB1ABB">
        <w:rPr>
          <w:rFonts w:eastAsia="Times New Roman"/>
          <w:bCs/>
          <w:kern w:val="32"/>
          <w:sz w:val="24"/>
          <w:szCs w:val="24"/>
        </w:rPr>
        <w:br/>
      </w:r>
      <w:r w:rsidRPr="00DB1ABB">
        <w:rPr>
          <w:rFonts w:eastAsia="Times New Roman"/>
          <w:bCs/>
          <w:kern w:val="32"/>
          <w:sz w:val="24"/>
          <w:szCs w:val="24"/>
        </w:rPr>
        <w:t xml:space="preserve">i korzyści można znaleźć 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lastRenderedPageBreak/>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Pr="00E30BC1" w:rsidRDefault="00E30BC1" w:rsidP="00D21C28">
      <w:pPr>
        <w:pStyle w:val="Bezodstpw"/>
        <w:spacing w:line="276" w:lineRule="auto"/>
        <w:jc w:val="both"/>
        <w:rPr>
          <w:b/>
          <w:bCs/>
          <w:sz w:val="24"/>
          <w:szCs w:val="24"/>
        </w:rPr>
      </w:pPr>
      <w:r w:rsidRPr="00E30BC1">
        <w:rPr>
          <w:b/>
          <w:bCs/>
          <w:sz w:val="24"/>
          <w:szCs w:val="24"/>
        </w:rPr>
        <w:t xml:space="preserve">Audyt energetyczny </w:t>
      </w:r>
      <w:r w:rsidRPr="00E30BC1">
        <w:rPr>
          <w:rFonts w:ascii="Cambria" w:hAnsi="Cambria"/>
          <w:sz w:val="24"/>
          <w:szCs w:val="24"/>
        </w:rPr>
        <w:t xml:space="preserve">musi być wykonany zgodnie z art. 8 </w:t>
      </w:r>
      <w:r w:rsidRPr="00E30BC1">
        <w:rPr>
          <w:rFonts w:ascii="Cambria" w:hAnsi="Cambria"/>
          <w:color w:val="000000"/>
          <w:sz w:val="24"/>
          <w:szCs w:val="24"/>
        </w:rPr>
        <w:t>oraz załącznikiem VI</w:t>
      </w:r>
      <w:r w:rsidRPr="00E30BC1">
        <w:rPr>
          <w:rFonts w:ascii="Cambria" w:hAnsi="Cambria"/>
          <w:color w:val="0070C0"/>
          <w:sz w:val="24"/>
          <w:szCs w:val="24"/>
        </w:rPr>
        <w:t xml:space="preserve"> </w:t>
      </w:r>
      <w:r w:rsidRPr="00E30BC1">
        <w:rPr>
          <w:rFonts w:ascii="Cambria" w:hAnsi="Cambria"/>
          <w:sz w:val="24"/>
          <w:szCs w:val="24"/>
        </w:rPr>
        <w:t xml:space="preserve">Dyrektywy 2012/27/UE, na podstawie którego zweryfikowane zostanie ekonomiczne uzasadnienia dla realizacji projektu. Dla przedsięwzięcia służącego poprawie efektywności energetycznej polegającego na realizacji przedsięwzięcia termomodernizacyjnego w rozumieniu ustawy o wspieraniu termomodernizacji i remontów stosuje się audyt energetyczny sporządzony w oparciu o Rozporządzenie Ministra </w:t>
      </w:r>
      <w:r w:rsidRPr="00E30BC1">
        <w:rPr>
          <w:rFonts w:ascii="Cambria" w:hAnsi="Cambria"/>
          <w:sz w:val="24"/>
          <w:szCs w:val="24"/>
        </w:rPr>
        <w:lastRenderedPageBreak/>
        <w:t>Infrastruktury z dnia 17 marca 2009 roku w sprawie szczegółowego zakresu i form audytu energetycznego oraz części audytu remontowego, wzorów kart audytów, a także algorytmu oceny opłacalności przedsięwzięcia termomodernizacyjnego (Dz.u.2009.43.346). ).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 rozumieniu ustawy z dnia 21 listopada 2008 r. o wspieraniu termomodernizacji i remontów, jeśli celem projektu jest przedsięwzięcie termomodernizacyjne (Dz.U. 2008 Nr 223 poz. 1459 z późn. zm.) lub Audyt efektywności energetycznej w rozumieniu ustawy z dnia 15 kwietnia 2011 r. o efektywności</w:t>
      </w:r>
      <w:r w:rsidRPr="00181867">
        <w:rPr>
          <w:rFonts w:ascii="Cambria" w:hAnsi="Cambria"/>
          <w:sz w:val="18"/>
          <w:szCs w:val="18"/>
        </w:rPr>
        <w:t xml:space="preserve"> </w:t>
      </w:r>
      <w:r w:rsidRPr="00E30BC1">
        <w:rPr>
          <w:rFonts w:ascii="Cambria" w:hAnsi="Cambria"/>
          <w:sz w:val="24"/>
          <w:szCs w:val="24"/>
        </w:rPr>
        <w:t>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późn. zm.);</w:t>
      </w: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r w:rsidRPr="008634BD">
        <w:rPr>
          <w:i/>
          <w:iCs/>
          <w:sz w:val="24"/>
          <w:szCs w:val="24"/>
        </w:rPr>
        <w:t>shadow prices</w:t>
      </w:r>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w:t>
      </w:r>
      <w:r w:rsidRPr="008634BD">
        <w:rPr>
          <w:sz w:val="24"/>
          <w:szCs w:val="24"/>
        </w:rPr>
        <w:lastRenderedPageBreak/>
        <w:t xml:space="preserve">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lastRenderedPageBreak/>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zmonetyzowane efekty zewnętrzne. Monetyzacja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30BC1" w:rsidRDefault="00E30BC1" w:rsidP="00E30BC1">
      <w:pPr>
        <w:pStyle w:val="Tekstprzypisudolnego"/>
        <w:jc w:val="both"/>
        <w:rPr>
          <w:rFonts w:ascii="Cambria" w:hAnsi="Cambria" w:cs="Arial"/>
          <w:b/>
          <w:bCs/>
          <w:iCs/>
          <w:sz w:val="24"/>
          <w:szCs w:val="24"/>
        </w:rPr>
      </w:pPr>
    </w:p>
    <w:p w:rsidR="00E30BC1" w:rsidRPr="00E30BC1" w:rsidRDefault="00E30BC1" w:rsidP="00E30BC1">
      <w:pPr>
        <w:pStyle w:val="Tekstprzypisudolnego"/>
        <w:jc w:val="both"/>
        <w:rPr>
          <w:sz w:val="24"/>
          <w:szCs w:val="24"/>
        </w:rPr>
      </w:pPr>
      <w:r w:rsidRPr="00E30BC1">
        <w:rPr>
          <w:rFonts w:cs="Arial"/>
          <w:b/>
          <w:bCs/>
          <w:iCs/>
          <w:sz w:val="24"/>
          <w:szCs w:val="24"/>
        </w:rPr>
        <w:lastRenderedPageBreak/>
        <w:t>Głęboka kompleksowa modernizacja energetyczna budynku</w:t>
      </w:r>
      <w:r w:rsidRPr="00E30BC1">
        <w:rPr>
          <w:rFonts w:cs="Arial"/>
          <w:iCs/>
          <w:sz w:val="24"/>
          <w:szCs w:val="24"/>
        </w:rPr>
        <w:t>, rozumiana jako kompleksowa termomodernizacja, zgodnie z art. 2 pkt 2 ustawy z dnia 21 listopada 2008 r. o wspieraniu termomodernizacji i remontów (Dz. U z 2014 r., poz. 712), 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 d) całkowita lub częściowa zamiana źródeł energii na źródła odnawialne lub zastosowanie wysokosprawnej kogeneracji. W przypadku ulepszenia polegającego na poprawie izolacyjności cieplnej przegród, powinny być spełnione minimalne wymagania dotyczące oszczędności energii i izolacyjności cieplnej określone w przepisach techniczno-budowlanych. Przez przepisy techniczno-budowlane rozumie się rozporządzenie Ministra Infrastruktury z dnia 12 kwietnia 2002 r. w sprawie warunków technicznych, jakim powinny odpowiadać budynki i ich usytuowanie (Dz. U. Nr 75, poz. 690, z późn. zm.).</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lastRenderedPageBreak/>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r w:rsidRPr="003D74BF">
        <w:rPr>
          <w:i/>
          <w:iCs/>
          <w:sz w:val="24"/>
          <w:szCs w:val="24"/>
        </w:rPr>
        <w:t xml:space="preserve">Discounted Investment Cost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lastRenderedPageBreak/>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lastRenderedPageBreak/>
        <w:t>Główną przyczyną uniemożliwiającą określenie przychodu na etapie wniosku o dofinansowanie (</w:t>
      </w:r>
      <w:r w:rsidRPr="00D45F09">
        <w:rPr>
          <w:i/>
          <w:iCs/>
          <w:sz w:val="24"/>
          <w:szCs w:val="24"/>
        </w:rPr>
        <w:t>ex ante</w:t>
      </w:r>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r>
        <w:rPr>
          <w:rFonts w:eastAsia="Times New Roman"/>
          <w:b/>
          <w:bCs/>
          <w:kern w:val="32"/>
          <w:sz w:val="24"/>
          <w:szCs w:val="24"/>
          <w:lang w:val="en-US"/>
        </w:rPr>
        <w:t xml:space="preserve">Przewodnik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lastRenderedPageBreak/>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póź.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lastRenderedPageBreak/>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r w:rsidRPr="00084475">
        <w:rPr>
          <w:b/>
          <w:kern w:val="32"/>
          <w:sz w:val="24"/>
          <w:szCs w:val="24"/>
        </w:rPr>
        <w:t>WoD</w:t>
      </w:r>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r w:rsidRPr="008C5155">
        <w:rPr>
          <w:i/>
          <w:iCs/>
          <w:kern w:val="32"/>
          <w:sz w:val="24"/>
          <w:szCs w:val="24"/>
        </w:rPr>
        <w:t>flat rate net revenue percentage</w:t>
      </w:r>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34A67" w:rsidRPr="008C5155" w:rsidRDefault="00234A67" w:rsidP="008C5155">
      <w:pPr>
        <w:jc w:val="both"/>
        <w:rPr>
          <w:sz w:val="24"/>
          <w:szCs w:val="24"/>
        </w:rPr>
      </w:pPr>
    </w:p>
    <w:p w:rsidR="00211BFC" w:rsidRPr="007754E4" w:rsidRDefault="00211BFC" w:rsidP="00211BFC">
      <w:pPr>
        <w:pStyle w:val="Nagwek1"/>
        <w:ind w:left="360"/>
        <w:jc w:val="both"/>
        <w:rPr>
          <w:rFonts w:ascii="Calibri" w:hAnsi="Calibri"/>
          <w:sz w:val="24"/>
          <w:szCs w:val="24"/>
        </w:rPr>
      </w:pPr>
    </w:p>
    <w:p w:rsidR="00211BFC" w:rsidRPr="007754E4" w:rsidRDefault="00211BFC" w:rsidP="00211BFC">
      <w:pPr>
        <w:jc w:val="both"/>
        <w:rPr>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C11BA3" w:rsidRPr="007754E4" w:rsidRDefault="00C11BA3" w:rsidP="00A655D6">
      <w:pPr>
        <w:autoSpaceDE w:val="0"/>
        <w:autoSpaceDN w:val="0"/>
        <w:adjustRightInd w:val="0"/>
        <w:spacing w:after="0"/>
        <w:jc w:val="both"/>
        <w:rPr>
          <w:rFonts w:cs="Calibri,Italic"/>
          <w:iCs/>
          <w:sz w:val="24"/>
          <w:szCs w:val="24"/>
        </w:rPr>
      </w:pPr>
    </w:p>
    <w:p w:rsidR="000072A9" w:rsidRDefault="000072A9"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Default="003D25B4" w:rsidP="00A655D6">
      <w:pPr>
        <w:autoSpaceDE w:val="0"/>
        <w:autoSpaceDN w:val="0"/>
        <w:adjustRightInd w:val="0"/>
        <w:spacing w:after="0"/>
        <w:jc w:val="both"/>
        <w:rPr>
          <w:rFonts w:cs="Calibri,Italic"/>
          <w:iCs/>
          <w:sz w:val="24"/>
          <w:szCs w:val="24"/>
        </w:rPr>
      </w:pPr>
    </w:p>
    <w:p w:rsidR="003D25B4" w:rsidRPr="007754E4" w:rsidRDefault="003D25B4" w:rsidP="00A655D6">
      <w:pPr>
        <w:autoSpaceDE w:val="0"/>
        <w:autoSpaceDN w:val="0"/>
        <w:adjustRightInd w:val="0"/>
        <w:spacing w:after="0"/>
        <w:jc w:val="both"/>
        <w:rPr>
          <w:rFonts w:cs="Calibri,Italic"/>
          <w:iCs/>
          <w:sz w:val="24"/>
          <w:szCs w:val="24"/>
        </w:rPr>
      </w:pPr>
    </w:p>
    <w:p w:rsidR="00A71D18" w:rsidRDefault="00A71D18" w:rsidP="009C03B2">
      <w:pPr>
        <w:pStyle w:val="Nagwek1"/>
        <w:numPr>
          <w:ilvl w:val="0"/>
          <w:numId w:val="3"/>
        </w:numPr>
        <w:ind w:left="567" w:hanging="567"/>
      </w:pPr>
      <w:bookmarkStart w:id="3" w:name="_Toc467746241"/>
      <w:r>
        <w:lastRenderedPageBreak/>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4" w:name="_Toc467746242"/>
      <w:r w:rsidRPr="00A71D18">
        <w:rPr>
          <w:i w:val="0"/>
        </w:rPr>
        <w:t>Podstawowe dane o projekcie</w:t>
      </w:r>
      <w:bookmarkEnd w:id="4"/>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lastRenderedPageBreak/>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5" w:name="_Toc467746243"/>
      <w:r w:rsidRPr="00BE57B0">
        <w:rPr>
          <w:i w:val="0"/>
        </w:rPr>
        <w:t>Opis stanu aktualn</w:t>
      </w:r>
      <w:r w:rsidR="0094244F">
        <w:rPr>
          <w:i w:val="0"/>
        </w:rPr>
        <w:t>ego (przed realizacją</w:t>
      </w:r>
      <w:r w:rsidRPr="00BE57B0">
        <w:rPr>
          <w:i w:val="0"/>
        </w:rPr>
        <w:t>)</w:t>
      </w:r>
      <w:bookmarkEnd w:id="5"/>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6" w:name="_Toc467746244"/>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6"/>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Cross-financing</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itp</w:t>
      </w:r>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0855C6" w:rsidRDefault="00DD7B6B" w:rsidP="00361643">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projekcie kategoria kosztów nie może przekraczać 40% kosztów kwalifikowan</w:t>
      </w:r>
      <w:r w:rsidR="008F10CC">
        <w:rPr>
          <w:b/>
          <w:sz w:val="24"/>
          <w:szCs w:val="24"/>
        </w:rPr>
        <w:t>l</w:t>
      </w:r>
      <w:r w:rsidRPr="00361643">
        <w:rPr>
          <w:b/>
          <w:sz w:val="24"/>
          <w:szCs w:val="24"/>
        </w:rPr>
        <w:t>ych</w:t>
      </w:r>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r w:rsidR="0067228A">
        <w:rPr>
          <w:b/>
          <w:sz w:val="24"/>
          <w:szCs w:val="24"/>
        </w:rPr>
        <w:t>Przy czym f</w:t>
      </w:r>
      <w:r w:rsidR="0067228A" w:rsidRPr="0067228A">
        <w:rPr>
          <w:b/>
          <w:sz w:val="24"/>
          <w:szCs w:val="24"/>
        </w:rPr>
        <w:t>inansowanie dróg lokalnych w ramach przedmiotowej interwencji jest możliwe pod warunkiem, że droga bezpośrednio przyczyni się do fizycznej, społecznej i gospodarczej rewitalizacji oraz rewitalizacji obszarów miejskich i obszarów funkcjonalnych miast. Takie inwestycje mus</w:t>
      </w:r>
      <w:r w:rsidR="0067228A">
        <w:rPr>
          <w:b/>
          <w:sz w:val="24"/>
          <w:szCs w:val="24"/>
        </w:rPr>
        <w:t xml:space="preserve">zą być częścią </w:t>
      </w:r>
      <w:r w:rsidR="0067228A" w:rsidRPr="0067228A">
        <w:rPr>
          <w:b/>
          <w:sz w:val="24"/>
          <w:szCs w:val="24"/>
        </w:rPr>
        <w:t xml:space="preserve">Programów rewitalizacji oraz stanowić mniejszość </w:t>
      </w:r>
      <w:r w:rsidR="0067228A">
        <w:rPr>
          <w:b/>
          <w:sz w:val="24"/>
          <w:szCs w:val="24"/>
        </w:rPr>
        <w:t xml:space="preserve">wydatków w danym projekcie, tj. mieścić się w limicie </w:t>
      </w:r>
      <w:r w:rsidR="0067228A" w:rsidRPr="00361643">
        <w:rPr>
          <w:b/>
          <w:sz w:val="24"/>
          <w:szCs w:val="24"/>
        </w:rPr>
        <w:t>40% kosztów kwalifikowan</w:t>
      </w:r>
      <w:r w:rsidR="0067228A">
        <w:rPr>
          <w:b/>
          <w:sz w:val="24"/>
          <w:szCs w:val="24"/>
        </w:rPr>
        <w:t>l</w:t>
      </w:r>
      <w:r w:rsidR="0067228A" w:rsidRPr="00361643">
        <w:rPr>
          <w:b/>
          <w:sz w:val="24"/>
          <w:szCs w:val="24"/>
        </w:rPr>
        <w:t>ych</w:t>
      </w:r>
      <w:r w:rsidR="0067228A">
        <w:rPr>
          <w:b/>
          <w:sz w:val="24"/>
          <w:szCs w:val="24"/>
        </w:rPr>
        <w:t>.</w:t>
      </w:r>
    </w:p>
    <w:p w:rsidR="0067228A" w:rsidRPr="00361643" w:rsidRDefault="0067228A" w:rsidP="00361643">
      <w:pPr>
        <w:pStyle w:val="Bezodstpw"/>
        <w:spacing w:line="276" w:lineRule="auto"/>
        <w:jc w:val="both"/>
        <w:rPr>
          <w:b/>
          <w:sz w:val="24"/>
          <w:szCs w:val="24"/>
        </w:rPr>
      </w:pPr>
    </w:p>
    <w:p w:rsidR="00043312"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94491B" w:rsidRDefault="0094491B" w:rsidP="006D62C4">
      <w:pPr>
        <w:pStyle w:val="Bezodstpw"/>
        <w:spacing w:line="276" w:lineRule="auto"/>
        <w:jc w:val="both"/>
        <w:rPr>
          <w:b/>
          <w:sz w:val="24"/>
          <w:szCs w:val="24"/>
          <w:u w:val="single"/>
        </w:rPr>
      </w:pPr>
    </w:p>
    <w:p w:rsidR="00B00CFB" w:rsidRPr="00B00CFB" w:rsidRDefault="0094491B" w:rsidP="00B00CFB">
      <w:pPr>
        <w:pStyle w:val="Bezodstpw"/>
        <w:spacing w:line="276" w:lineRule="auto"/>
        <w:jc w:val="both"/>
        <w:rPr>
          <w:b/>
          <w:sz w:val="24"/>
          <w:szCs w:val="24"/>
          <w:u w:val="single"/>
        </w:rPr>
      </w:pPr>
      <w:r w:rsidRPr="0094491B">
        <w:rPr>
          <w:b/>
          <w:sz w:val="24"/>
          <w:szCs w:val="24"/>
          <w:u w:val="single"/>
        </w:rPr>
        <w:t>Inwestycje objęte zasadami pomocy publicznej</w:t>
      </w:r>
    </w:p>
    <w:p w:rsidR="00B00CFB" w:rsidRDefault="0094491B" w:rsidP="00B00CFB">
      <w:pPr>
        <w:pStyle w:val="Bezodstpw"/>
        <w:spacing w:line="276" w:lineRule="auto"/>
        <w:jc w:val="both"/>
        <w:rPr>
          <w:b/>
          <w:sz w:val="24"/>
          <w:szCs w:val="24"/>
        </w:rPr>
      </w:pPr>
      <w:r w:rsidRPr="00BD3E5E">
        <w:rPr>
          <w:b/>
          <w:sz w:val="24"/>
          <w:szCs w:val="24"/>
        </w:rPr>
        <w:t xml:space="preserve">Jeżeli infrastruktura jest użytkowana zarówno do prowadzenia działalności gospodarczej, jak </w:t>
      </w:r>
      <w:r>
        <w:rPr>
          <w:b/>
          <w:sz w:val="24"/>
          <w:szCs w:val="24"/>
        </w:rPr>
        <w:br/>
      </w:r>
      <w:r w:rsidRPr="00BD3E5E">
        <w:rPr>
          <w:b/>
          <w:sz w:val="24"/>
          <w:szCs w:val="24"/>
        </w:rPr>
        <w:t>i niegospodarczej, finansowanie publiczne jej budowy będzie wchodziło w zakres zasad pomocy państwa wyłącznie w odniesieniu do finansowania publicznego pokrywającego koszty związane z działalnością gospodarczą.</w:t>
      </w:r>
      <w:r w:rsidR="00B00CFB">
        <w:rPr>
          <w:b/>
          <w:sz w:val="24"/>
          <w:szCs w:val="24"/>
        </w:rPr>
        <w:t xml:space="preserve"> </w:t>
      </w:r>
      <w:r>
        <w:rPr>
          <w:b/>
          <w:sz w:val="24"/>
          <w:szCs w:val="24"/>
          <w:u w:val="single"/>
        </w:rPr>
        <w:t xml:space="preserve">Wówczas należy wyodrębnić tego typu inwestycje i zapewnić </w:t>
      </w:r>
      <w:r w:rsidR="00EF565D">
        <w:rPr>
          <w:b/>
          <w:sz w:val="24"/>
          <w:szCs w:val="24"/>
          <w:u w:val="single"/>
        </w:rPr>
        <w:t>wyraźną</w:t>
      </w:r>
      <w:r>
        <w:rPr>
          <w:b/>
          <w:sz w:val="24"/>
          <w:szCs w:val="24"/>
          <w:u w:val="single"/>
        </w:rPr>
        <w:t xml:space="preserve"> rozd</w:t>
      </w:r>
      <w:r w:rsidR="00EF565D">
        <w:rPr>
          <w:b/>
          <w:sz w:val="24"/>
          <w:szCs w:val="24"/>
          <w:u w:val="single"/>
        </w:rPr>
        <w:t>zielność</w:t>
      </w:r>
      <w:r w:rsidR="008D02E8">
        <w:rPr>
          <w:b/>
          <w:sz w:val="24"/>
          <w:szCs w:val="24"/>
          <w:u w:val="single"/>
        </w:rPr>
        <w:t xml:space="preserve"> rachunkową</w:t>
      </w:r>
      <w:r>
        <w:rPr>
          <w:b/>
          <w:sz w:val="24"/>
          <w:szCs w:val="24"/>
          <w:u w:val="single"/>
        </w:rPr>
        <w:t xml:space="preserve"> dla tych inwestycji w ramach projektu</w:t>
      </w:r>
      <w:r w:rsidR="00EF565D">
        <w:rPr>
          <w:b/>
          <w:sz w:val="24"/>
          <w:szCs w:val="24"/>
          <w:u w:val="single"/>
        </w:rPr>
        <w:t>.</w:t>
      </w:r>
      <w:r w:rsidR="00B00CFB" w:rsidRPr="00B00CFB">
        <w:rPr>
          <w:b/>
          <w:sz w:val="24"/>
          <w:szCs w:val="24"/>
        </w:rPr>
        <w:t xml:space="preserve"> </w:t>
      </w:r>
    </w:p>
    <w:p w:rsidR="0094491B" w:rsidRPr="00B00CFB" w:rsidRDefault="00B00CFB" w:rsidP="00B00CFB">
      <w:pPr>
        <w:jc w:val="both"/>
        <w:rPr>
          <w:b/>
          <w:sz w:val="24"/>
          <w:szCs w:val="24"/>
        </w:rPr>
      </w:pPr>
      <w:r w:rsidRPr="000F0375">
        <w:rPr>
          <w:b/>
          <w:sz w:val="24"/>
          <w:szCs w:val="24"/>
        </w:rPr>
        <w:t>Szczegółowe informacje oraz przykłady dot. z</w:t>
      </w:r>
      <w:r>
        <w:rPr>
          <w:b/>
          <w:sz w:val="24"/>
          <w:szCs w:val="24"/>
        </w:rPr>
        <w:t xml:space="preserve">asad </w:t>
      </w:r>
      <w:r w:rsidRPr="000F0375">
        <w:rPr>
          <w:b/>
          <w:sz w:val="24"/>
          <w:szCs w:val="24"/>
        </w:rPr>
        <w:t xml:space="preserve">finansowania infrastruktury podwójnego wykorzystania (do celów działalności niegospodarczej i gospodarczej) zostały zawarte w dokumencie </w:t>
      </w:r>
      <w:r w:rsidRPr="000F0375">
        <w:rPr>
          <w:rFonts w:cs="EUAlbertina"/>
          <w:b/>
          <w:color w:val="000000"/>
          <w:sz w:val="24"/>
          <w:szCs w:val="24"/>
          <w:lang w:eastAsia="pl-PL"/>
        </w:rPr>
        <w:t xml:space="preserve">Komisji Europejskiej pn.  </w:t>
      </w:r>
      <w:r w:rsidRPr="000F0375">
        <w:rPr>
          <w:rFonts w:cs="EUAlbertina"/>
          <w:b/>
          <w:bCs/>
          <w:i/>
          <w:color w:val="000000"/>
          <w:sz w:val="24"/>
          <w:szCs w:val="24"/>
          <w:lang w:eastAsia="pl-PL"/>
        </w:rPr>
        <w:t>Zawiadomienie Komisji w sprawie pojęcia pomocy państwa w rozumieniu art. 107 ust. 1 Traktatu o funkcjonowaniu Unii Europejskiej</w:t>
      </w:r>
      <w:r w:rsidRPr="000F0375">
        <w:rPr>
          <w:rFonts w:cs="EUAlbertina"/>
          <w:b/>
          <w:bCs/>
          <w:color w:val="000000"/>
          <w:sz w:val="24"/>
          <w:szCs w:val="24"/>
          <w:lang w:eastAsia="pl-PL"/>
        </w:rPr>
        <w:t xml:space="preserve"> (2016/C 262/01)</w:t>
      </w:r>
      <w:r>
        <w:rPr>
          <w:rFonts w:cs="EUAlbertina"/>
          <w:b/>
          <w:bCs/>
          <w:color w:val="000000"/>
          <w:sz w:val="24"/>
          <w:szCs w:val="24"/>
          <w:lang w:eastAsia="pl-PL"/>
        </w:rPr>
        <w:t>.</w:t>
      </w:r>
    </w:p>
    <w:p w:rsidR="008A02D2" w:rsidRPr="008A02D2" w:rsidRDefault="008A02D2" w:rsidP="00043312">
      <w:pPr>
        <w:pStyle w:val="Nagwek2"/>
        <w:numPr>
          <w:ilvl w:val="1"/>
          <w:numId w:val="4"/>
        </w:numPr>
        <w:rPr>
          <w:i w:val="0"/>
        </w:rPr>
      </w:pPr>
      <w:r w:rsidRPr="008A02D2">
        <w:rPr>
          <w:i w:val="0"/>
        </w:rPr>
        <w:t xml:space="preserve"> </w:t>
      </w:r>
      <w:bookmarkStart w:id="7" w:name="_Toc467746245"/>
      <w:r w:rsidRPr="008A02D2">
        <w:rPr>
          <w:i w:val="0"/>
        </w:rPr>
        <w:t>Lokalizacja projektu</w:t>
      </w:r>
      <w:bookmarkEnd w:id="7"/>
    </w:p>
    <w:p w:rsidR="008A02D2" w:rsidRPr="005C0085" w:rsidRDefault="008A02D2" w:rsidP="005C0085">
      <w:pPr>
        <w:pStyle w:val="Bezodstpw"/>
      </w:pPr>
    </w:p>
    <w:p w:rsidR="00926142" w:rsidRDefault="00967798" w:rsidP="006D62C4">
      <w:pPr>
        <w:pStyle w:val="Bezodstpw"/>
        <w:spacing w:line="276" w:lineRule="auto"/>
        <w:jc w:val="both"/>
        <w:rPr>
          <w:rFonts w:eastAsia="Times New Roman" w:cs="Arial"/>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Hydroportalu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67228A" w:rsidRPr="0026478B" w:rsidRDefault="0067228A" w:rsidP="006D62C4">
      <w:pPr>
        <w:pStyle w:val="Bezodstpw"/>
        <w:spacing w:line="276" w:lineRule="auto"/>
        <w:jc w:val="both"/>
        <w:rPr>
          <w:rFonts w:eastAsia="Times New Roman" w:cs="Arial"/>
          <w:sz w:val="24"/>
          <w:szCs w:val="24"/>
          <w:lang w:eastAsia="pl-PL"/>
        </w:rPr>
      </w:pPr>
    </w:p>
    <w:p w:rsidR="00055119" w:rsidRPr="00F96C73" w:rsidRDefault="00055119" w:rsidP="00055119">
      <w:pPr>
        <w:pStyle w:val="Nagwek2"/>
        <w:numPr>
          <w:ilvl w:val="1"/>
          <w:numId w:val="4"/>
        </w:numPr>
        <w:rPr>
          <w:rFonts w:eastAsia="ArialNarrow,Bold"/>
          <w:i w:val="0"/>
        </w:rPr>
      </w:pPr>
      <w:bookmarkStart w:id="8" w:name="_Toc467746246"/>
      <w:r>
        <w:rPr>
          <w:rFonts w:eastAsia="ArialNarrow,Bold"/>
          <w:i w:val="0"/>
        </w:rPr>
        <w:lastRenderedPageBreak/>
        <w:t>Analiza pomocy publicznej</w:t>
      </w:r>
      <w:bookmarkEnd w:id="8"/>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001E5578" w:rsidRPr="001E5578">
        <w:rPr>
          <w:b/>
          <w:sz w:val="24"/>
          <w:szCs w:val="24"/>
        </w:rPr>
        <w:t>rzetelnej</w:t>
      </w:r>
      <w:r w:rsidR="001E5578">
        <w:rPr>
          <w:sz w:val="24"/>
          <w:szCs w:val="24"/>
        </w:rPr>
        <w:t xml:space="preserve"> </w:t>
      </w:r>
      <w:r w:rsidRPr="002469D6">
        <w:rPr>
          <w:sz w:val="24"/>
          <w:szCs w:val="24"/>
        </w:rPr>
        <w:t>a</w:t>
      </w:r>
      <w:r w:rsidR="00967798" w:rsidRPr="002469D6">
        <w:rPr>
          <w:sz w:val="24"/>
          <w:szCs w:val="24"/>
        </w:rPr>
        <w:t>nalizy</w:t>
      </w:r>
      <w:r w:rsidRPr="002469D6">
        <w:rPr>
          <w:sz w:val="24"/>
          <w:szCs w:val="24"/>
        </w:rPr>
        <w:t xml:space="preserve"> występowania pomocy publicznej </w:t>
      </w:r>
      <w:r w:rsidR="001E5578">
        <w:rPr>
          <w:sz w:val="24"/>
          <w:szCs w:val="24"/>
        </w:rPr>
        <w:br/>
      </w:r>
      <w:r w:rsidRPr="002469D6">
        <w:rPr>
          <w:sz w:val="24"/>
          <w:szCs w:val="24"/>
        </w:rPr>
        <w:t xml:space="preserve">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t>
      </w:r>
      <w:r w:rsidR="001E5578" w:rsidRPr="001E5578">
        <w:rPr>
          <w:sz w:val="24"/>
          <w:szCs w:val="24"/>
          <w:u w:val="single"/>
        </w:rPr>
        <w:t>jednoznacznie</w:t>
      </w:r>
      <w:r w:rsidR="001E5578">
        <w:rPr>
          <w:sz w:val="24"/>
          <w:szCs w:val="24"/>
        </w:rPr>
        <w:t xml:space="preserve"> </w:t>
      </w:r>
      <w:r w:rsidRPr="002469D6">
        <w:rPr>
          <w:sz w:val="24"/>
          <w:szCs w:val="24"/>
        </w:rPr>
        <w:t xml:space="preserve">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Höfner i Elser przeciwko Macrotron GmbH, Zb. Orz. TS 1991, s. I-1979). Co więcej, nie ma znaczenia fakt, iż są to podmioty nienastawione na zysk (</w:t>
      </w:r>
      <w:r w:rsidRPr="002469D6">
        <w:rPr>
          <w:rStyle w:val="Uwydatnienie"/>
          <w:sz w:val="24"/>
          <w:szCs w:val="24"/>
        </w:rPr>
        <w:t>non-profit organisation</w:t>
      </w:r>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9" w:name="_ftnref2"/>
      <w:bookmarkEnd w:id="9"/>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w:t>
      </w:r>
      <w:r w:rsidRPr="002469D6">
        <w:rPr>
          <w:sz w:val="24"/>
          <w:szCs w:val="24"/>
        </w:rPr>
        <w:lastRenderedPageBreak/>
        <w:t xml:space="preserve">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B00CFB" w:rsidRPr="002469D6" w:rsidRDefault="00B00CFB" w:rsidP="002469D6">
      <w:pPr>
        <w:pStyle w:val="Bezodstpw"/>
        <w:spacing w:line="276" w:lineRule="auto"/>
        <w:jc w:val="both"/>
        <w:rPr>
          <w:sz w:val="24"/>
          <w:szCs w:val="24"/>
        </w:rPr>
      </w:pPr>
    </w:p>
    <w:p w:rsidR="005C0085" w:rsidRPr="00F86CB9" w:rsidRDefault="00CE685B" w:rsidP="00B94F29">
      <w:pPr>
        <w:jc w:val="both"/>
        <w:rPr>
          <w:b/>
          <w:sz w:val="24"/>
          <w:szCs w:val="24"/>
        </w:rPr>
      </w:pPr>
      <w:bookmarkStart w:id="10" w:name="_ftn2"/>
      <w:bookmarkEnd w:id="10"/>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w:t>
      </w:r>
      <w:r w:rsidRPr="00F86CB9">
        <w:rPr>
          <w:rFonts w:cs="Arial"/>
          <w:b/>
          <w:sz w:val="24"/>
          <w:szCs w:val="24"/>
        </w:rPr>
        <w:t xml:space="preserve">zachęty, zostały opisane w artykule 6 </w:t>
      </w:r>
      <w:r w:rsidR="00933D17" w:rsidRPr="00F86CB9">
        <w:rPr>
          <w:b/>
          <w:sz w:val="24"/>
          <w:szCs w:val="24"/>
        </w:rPr>
        <w:t xml:space="preserve">rozporządzenia </w:t>
      </w:r>
      <w:r w:rsidR="00A02516" w:rsidRPr="00F86CB9">
        <w:rPr>
          <w:b/>
          <w:sz w:val="24"/>
          <w:szCs w:val="24"/>
        </w:rPr>
        <w:t xml:space="preserve">ogólnego </w:t>
      </w:r>
      <w:r w:rsidR="00933D17" w:rsidRPr="00F86CB9">
        <w:rPr>
          <w:b/>
          <w:sz w:val="24"/>
          <w:szCs w:val="24"/>
        </w:rPr>
        <w:t>w sprawie wyłączeń blokowych.</w:t>
      </w:r>
    </w:p>
    <w:p w:rsidR="00B00CFB" w:rsidRDefault="00B00CFB" w:rsidP="00B00CFB">
      <w:pPr>
        <w:pStyle w:val="Bezodstpw"/>
        <w:spacing w:line="276" w:lineRule="auto"/>
        <w:jc w:val="both"/>
        <w:rPr>
          <w:b/>
          <w:sz w:val="24"/>
          <w:szCs w:val="24"/>
        </w:rPr>
      </w:pPr>
      <w:r w:rsidRPr="00F86CB9">
        <w:rPr>
          <w:b/>
          <w:sz w:val="24"/>
          <w:szCs w:val="24"/>
        </w:rPr>
        <w:t>Jeżeli w ramach projektu jego część (wcześniej odpowiednio wydzielona) będzie objęta zasadami pomocy publicznej to wysokość dofinansowania w stosunku do tej wydzielonej części powinna zostać ustalona w oparciu o przepisy (limity) zawarte w stosownych przepisach</w:t>
      </w:r>
      <w:r w:rsidRPr="00F86CB9">
        <w:rPr>
          <w:b/>
          <w:sz w:val="24"/>
          <w:szCs w:val="24"/>
          <w:vertAlign w:val="superscript"/>
        </w:rPr>
        <w:footnoteReference w:id="11"/>
      </w:r>
      <w:r w:rsidRPr="00F86CB9">
        <w:rPr>
          <w:b/>
          <w:sz w:val="24"/>
          <w:szCs w:val="24"/>
        </w:rPr>
        <w:t xml:space="preserve"> regulujących kwestie pomocy publicznej oraz w oparciu o obostrzenia wynikające ewentualnie z regulaminu konkursu. W takim przypadku, pozostała cześć projektu, nie objęta zasadami pomocy publicznej, będzie </w:t>
      </w:r>
      <w:r>
        <w:rPr>
          <w:b/>
          <w:sz w:val="24"/>
          <w:szCs w:val="24"/>
        </w:rPr>
        <w:t>finansowana</w:t>
      </w:r>
      <w:r w:rsidRPr="00F86CB9">
        <w:rPr>
          <w:b/>
          <w:sz w:val="24"/>
          <w:szCs w:val="24"/>
        </w:rPr>
        <w:t xml:space="preserve"> na zasadach ogólnych tj. m.in. zgodnie z rozporządzeniem nr 1303/2013 bez ograniczeń (limitów) wynikających z przepisów o pomocy publicznej oraz zgodnie z zasadami określonymi w regulaminie konkursu</w:t>
      </w:r>
      <w:r>
        <w:rPr>
          <w:b/>
          <w:sz w:val="24"/>
          <w:szCs w:val="24"/>
        </w:rPr>
        <w:t>.</w:t>
      </w:r>
    </w:p>
    <w:p w:rsidR="0069520A" w:rsidRPr="0069520A" w:rsidRDefault="0069520A" w:rsidP="0069520A">
      <w:pPr>
        <w:autoSpaceDE w:val="0"/>
        <w:autoSpaceDN w:val="0"/>
        <w:adjustRightInd w:val="0"/>
        <w:spacing w:after="0" w:line="240" w:lineRule="auto"/>
        <w:rPr>
          <w:rFonts w:ascii="EUAlbertina" w:hAnsi="EUAlbertina" w:cs="EUAlbertina"/>
          <w:color w:val="000000"/>
          <w:sz w:val="24"/>
          <w:szCs w:val="24"/>
          <w:lang w:eastAsia="pl-PL"/>
        </w:rPr>
      </w:pPr>
    </w:p>
    <w:p w:rsidR="00B94195" w:rsidRPr="00676B45" w:rsidRDefault="00D326D4" w:rsidP="0056093D">
      <w:pPr>
        <w:pStyle w:val="Nagwek1"/>
        <w:numPr>
          <w:ilvl w:val="0"/>
          <w:numId w:val="4"/>
        </w:numPr>
      </w:pPr>
      <w:bookmarkStart w:id="11" w:name="_Toc467746247"/>
      <w:r>
        <w:t>Definicja celów projektu</w:t>
      </w:r>
      <w:bookmarkEnd w:id="11"/>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należy przedstawić logikę powiązań przycz</w:t>
      </w:r>
      <w:r w:rsidR="0098341B">
        <w:rPr>
          <w:sz w:val="24"/>
          <w:szCs w:val="24"/>
        </w:rPr>
        <w:t xml:space="preserve">ynowo-skutkowych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lastRenderedPageBreak/>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12" w:name="_Toc467746248"/>
      <w:r w:rsidRPr="005421A5">
        <w:rPr>
          <w:i w:val="0"/>
        </w:rPr>
        <w:t>Wskaźniki r</w:t>
      </w:r>
      <w:r>
        <w:rPr>
          <w:i w:val="0"/>
        </w:rPr>
        <w:t>ealizacji celów p</w:t>
      </w:r>
      <w:r w:rsidRPr="005421A5">
        <w:rPr>
          <w:i w:val="0"/>
        </w:rPr>
        <w:t>rojektu</w:t>
      </w:r>
      <w:bookmarkEnd w:id="12"/>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3" w:name="_Toc467746249"/>
      <w:r w:rsidRPr="00550D78">
        <w:lastRenderedPageBreak/>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3"/>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4" w:name="_Toc467746250"/>
      <w:r>
        <w:t>I</w:t>
      </w:r>
      <w:r w:rsidR="00C97013">
        <w:t>nstytucjonalna i prawna</w:t>
      </w:r>
      <w:r>
        <w:t xml:space="preserve"> wykonalność projektu</w:t>
      </w:r>
      <w:bookmarkEnd w:id="14"/>
    </w:p>
    <w:p w:rsidR="00F6508B" w:rsidRPr="004D6A3D" w:rsidRDefault="00DF69F8" w:rsidP="00DF69F8">
      <w:pPr>
        <w:pStyle w:val="Nagwek2"/>
        <w:numPr>
          <w:ilvl w:val="1"/>
          <w:numId w:val="4"/>
        </w:numPr>
        <w:rPr>
          <w:i w:val="0"/>
        </w:rPr>
      </w:pPr>
      <w:bookmarkStart w:id="15" w:name="_Toc467746251"/>
      <w:r w:rsidRPr="004D6A3D">
        <w:rPr>
          <w:i w:val="0"/>
        </w:rPr>
        <w:t>Analiza instytucjonalna</w:t>
      </w:r>
      <w:bookmarkEnd w:id="15"/>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6" w:name="_Toc467746252"/>
      <w:r w:rsidRPr="004D6A3D">
        <w:rPr>
          <w:i w:val="0"/>
        </w:rPr>
        <w:lastRenderedPageBreak/>
        <w:t>A</w:t>
      </w:r>
      <w:r w:rsidR="00E8388C">
        <w:rPr>
          <w:i w:val="0"/>
        </w:rPr>
        <w:t>naliza prawna</w:t>
      </w:r>
      <w:bookmarkEnd w:id="16"/>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7" w:name="_Toc467746253"/>
      <w:r w:rsidRPr="004D6A3D">
        <w:rPr>
          <w:i w:val="0"/>
        </w:rPr>
        <w:t>A</w:t>
      </w:r>
      <w:r>
        <w:rPr>
          <w:i w:val="0"/>
        </w:rPr>
        <w:t>naliza trwałości</w:t>
      </w:r>
      <w:bookmarkEnd w:id="17"/>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8" w:name="_Toc467746254"/>
      <w:r>
        <w:rPr>
          <w:i w:val="0"/>
        </w:rPr>
        <w:lastRenderedPageBreak/>
        <w:t>Harmonogram wdrożenia projektu</w:t>
      </w:r>
      <w:bookmarkEnd w:id="18"/>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wykres Gantt’a</w:t>
      </w:r>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524"/>
        <w:gridCol w:w="622"/>
        <w:gridCol w:w="720"/>
        <w:gridCol w:w="743"/>
        <w:gridCol w:w="523"/>
        <w:gridCol w:w="622"/>
        <w:gridCol w:w="720"/>
        <w:gridCol w:w="743"/>
        <w:gridCol w:w="523"/>
        <w:gridCol w:w="622"/>
        <w:gridCol w:w="720"/>
        <w:gridCol w:w="743"/>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9" w:name="_Toc467746255"/>
      <w:r>
        <w:t>Analiza wykonalności, analiza popytu oraz analiza opcji</w:t>
      </w:r>
      <w:bookmarkEnd w:id="19"/>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w:t>
      </w:r>
      <w:r w:rsidR="00FB2F99" w:rsidRPr="00E97161">
        <w:rPr>
          <w:sz w:val="24"/>
          <w:szCs w:val="24"/>
        </w:rPr>
        <w:lastRenderedPageBreak/>
        <w:t xml:space="preserve">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20" w:name="_Toc467746256"/>
      <w:r w:rsidRPr="008141CD">
        <w:rPr>
          <w:i w:val="0"/>
        </w:rPr>
        <w:t>Analiza wykonalności</w:t>
      </w:r>
      <w:bookmarkEnd w:id="20"/>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21" w:name="_Toc467746257"/>
      <w:r w:rsidRPr="007E72A6">
        <w:rPr>
          <w:i w:val="0"/>
        </w:rPr>
        <w:t>Analiza popytu</w:t>
      </w:r>
      <w:bookmarkEnd w:id="21"/>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lastRenderedPageBreak/>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2" w:name="_Toc467746258"/>
      <w:r w:rsidRPr="00FF3AB1">
        <w:rPr>
          <w:i w:val="0"/>
        </w:rPr>
        <w:t>Analiza opcji</w:t>
      </w:r>
      <w:r w:rsidR="00FF3AB1" w:rsidRPr="00FF3AB1">
        <w:rPr>
          <w:i w:val="0"/>
        </w:rPr>
        <w:t xml:space="preserve"> </w:t>
      </w:r>
      <w:r w:rsidR="00FF3AB1">
        <w:rPr>
          <w:i w:val="0"/>
        </w:rPr>
        <w:t>(rozwiązań alternatywnych)</w:t>
      </w:r>
      <w:bookmarkEnd w:id="22"/>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lastRenderedPageBreak/>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2"/>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3"/>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lastRenderedPageBreak/>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4"/>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lastRenderedPageBreak/>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5"/>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lastRenderedPageBreak/>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6E58B3"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KI</w:t>
      </w:r>
      <w:r w:rsidRPr="00333700">
        <w:rPr>
          <w:sz w:val="24"/>
          <w:szCs w:val="24"/>
        </w:rPr>
        <w:t>t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r w:rsidRPr="00333700">
        <w:rPr>
          <w:b/>
          <w:bCs/>
          <w:sz w:val="24"/>
          <w:szCs w:val="24"/>
        </w:rPr>
        <w:t>KEt</w:t>
      </w:r>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(KI</w:t>
      </w:r>
      <w:r w:rsidRPr="00911E45">
        <w:rPr>
          <w:i/>
          <w:sz w:val="24"/>
          <w:szCs w:val="24"/>
          <w:vertAlign w:val="subscript"/>
        </w:rPr>
        <w:t>t</w:t>
      </w:r>
      <w:r w:rsidRPr="00911E45">
        <w:rPr>
          <w:i/>
          <w:sz w:val="24"/>
          <w:szCs w:val="24"/>
        </w:rPr>
        <w:t>)</w:t>
      </w:r>
      <w:r w:rsidRPr="00911E45">
        <w:rPr>
          <w:sz w:val="24"/>
          <w:szCs w:val="24"/>
        </w:rPr>
        <w:t xml:space="preserve">, kosztów eksploatacyjnych </w:t>
      </w:r>
      <w:r w:rsidRPr="00911E45">
        <w:rPr>
          <w:i/>
          <w:sz w:val="24"/>
          <w:szCs w:val="24"/>
        </w:rPr>
        <w:t>(KE</w:t>
      </w:r>
      <w:r w:rsidRPr="00911E45">
        <w:rPr>
          <w:i/>
          <w:sz w:val="24"/>
          <w:szCs w:val="24"/>
          <w:vertAlign w:val="subscript"/>
        </w:rPr>
        <w:t>t</w:t>
      </w:r>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(EE</w:t>
      </w:r>
      <w:r w:rsidRPr="00911E45">
        <w:rPr>
          <w:i/>
          <w:sz w:val="24"/>
          <w:szCs w:val="24"/>
          <w:vertAlign w:val="subscript"/>
        </w:rPr>
        <w:t>t</w:t>
      </w:r>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6E58B3"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6E58B3"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6E58B3" w:rsidP="00911E45">
      <w:pPr>
        <w:autoSpaceDE w:val="0"/>
        <w:autoSpaceDN w:val="0"/>
        <w:adjustRightInd w:val="0"/>
        <w:spacing w:after="0"/>
        <w:jc w:val="both"/>
        <w:rPr>
          <w:sz w:val="24"/>
          <w:szCs w:val="24"/>
        </w:rPr>
      </w:pPr>
      <w:r>
        <w:rPr>
          <w:noProof/>
          <w:sz w:val="24"/>
          <w:szCs w:val="24"/>
          <w:lang w:eastAsia="pl-PL"/>
        </w:rPr>
        <w:lastRenderedPageBreak/>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lastRenderedPageBreak/>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3" w:name="_Toc467746259"/>
      <w:r>
        <w:rPr>
          <w:i w:val="0"/>
        </w:rPr>
        <w:t>Zastosowane rozwiązanie</w:t>
      </w:r>
      <w:bookmarkEnd w:id="23"/>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4" w:name="_Toc467746260"/>
      <w:r>
        <w:t>Analiza finansowa</w:t>
      </w:r>
      <w:bookmarkEnd w:id="24"/>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lastRenderedPageBreak/>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5" w:name="_Toc467746261"/>
      <w:r w:rsidRPr="00B10E31">
        <w:rPr>
          <w:i w:val="0"/>
        </w:rPr>
        <w:t>Nakłady inwestycyjne</w:t>
      </w:r>
      <w:bookmarkEnd w:id="25"/>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w WoD</w:t>
      </w:r>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WoD  muszą być tożsame. </w:t>
      </w:r>
    </w:p>
    <w:p w:rsidR="0080373F" w:rsidRPr="00B10E31" w:rsidRDefault="0080373F" w:rsidP="00B10E31">
      <w:pPr>
        <w:pStyle w:val="Nagwek2"/>
        <w:numPr>
          <w:ilvl w:val="1"/>
          <w:numId w:val="4"/>
        </w:numPr>
        <w:rPr>
          <w:i w:val="0"/>
        </w:rPr>
      </w:pPr>
      <w:bookmarkStart w:id="26" w:name="_Toc467746262"/>
      <w:r w:rsidRPr="00B10E31">
        <w:rPr>
          <w:i w:val="0"/>
        </w:rPr>
        <w:t>Ogólna metodyka przeprowadzania analizy finansowej</w:t>
      </w:r>
      <w:bookmarkEnd w:id="26"/>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lastRenderedPageBreak/>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7" w:name="_Toc467746263"/>
      <w:r>
        <w:rPr>
          <w:i w:val="0"/>
        </w:rPr>
        <w:t>Założenia do</w:t>
      </w:r>
      <w:r w:rsidR="00281277" w:rsidRPr="0080373F">
        <w:rPr>
          <w:i w:val="0"/>
        </w:rPr>
        <w:t xml:space="preserve"> analizy finansowej</w:t>
      </w:r>
      <w:bookmarkEnd w:id="27"/>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lastRenderedPageBreak/>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6"/>
      </w:r>
      <w:r w:rsidRPr="009356A8">
        <w:rPr>
          <w:rFonts w:ascii="Calibri" w:hAnsi="Calibri"/>
        </w:rPr>
        <w:t>, zgodnie z którymi wskaźnik inflacji w okresie 2025-2040 będzie konwergował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7"/>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BD6C1D">
        <w:trPr>
          <w:trHeight w:val="268"/>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283FF6" w:rsidRPr="00BD6C1D" w:rsidRDefault="00283FF6" w:rsidP="00BD6C1D">
            <w:pPr>
              <w:pStyle w:val="Default"/>
              <w:jc w:val="center"/>
              <w:rPr>
                <w:rFonts w:ascii="Calibri" w:hAnsi="Calibri"/>
                <w:b/>
                <w:bCs/>
                <w:sz w:val="20"/>
                <w:szCs w:val="20"/>
              </w:rPr>
            </w:pPr>
            <w:r w:rsidRPr="00C76DBF">
              <w:rPr>
                <w:rFonts w:ascii="Calibri" w:hAnsi="Calibri"/>
                <w:b/>
                <w:bCs/>
                <w:sz w:val="20"/>
                <w:szCs w:val="20"/>
              </w:rPr>
              <w:t>Okres odniesienia</w:t>
            </w:r>
            <w:r w:rsidR="00BD6C1D">
              <w:rPr>
                <w:rFonts w:ascii="Calibri" w:hAnsi="Calibri"/>
                <w:b/>
                <w:bCs/>
                <w:sz w:val="20"/>
                <w:szCs w:val="20"/>
              </w:rPr>
              <w:t xml:space="preserve"> </w:t>
            </w:r>
            <w:r w:rsidR="00BD6C1D"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8"/>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93C31" w:rsidRPr="00AE4135">
        <w:rPr>
          <w:rFonts w:ascii="Calibri" w:hAnsi="Calibri"/>
          <w:b/>
          <w:color w:val="auto"/>
        </w:rPr>
        <w:b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4B30BA">
        <w:rPr>
          <w:rFonts w:ascii="Calibri" w:hAnsi="Calibri"/>
        </w:rPr>
        <w:br/>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8" w:name="_Toc467746264"/>
      <w:r>
        <w:rPr>
          <w:i w:val="0"/>
        </w:rPr>
        <w:t>Określenie przychodów</w:t>
      </w:r>
      <w:bookmarkEnd w:id="28"/>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9"/>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lastRenderedPageBreak/>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041F80" w:rsidRPr="00041F80" w:rsidRDefault="00041F80" w:rsidP="00041F80">
      <w:pPr>
        <w:pStyle w:val="Nagwek2"/>
        <w:numPr>
          <w:ilvl w:val="1"/>
          <w:numId w:val="4"/>
        </w:numPr>
        <w:rPr>
          <w:i w:val="0"/>
        </w:rPr>
      </w:pPr>
      <w:bookmarkStart w:id="29" w:name="_Toc467746265"/>
      <w:r>
        <w:rPr>
          <w:i w:val="0"/>
        </w:rPr>
        <w:lastRenderedPageBreak/>
        <w:t>Metoda luki w finansowaniu</w:t>
      </w:r>
      <w:bookmarkEnd w:id="29"/>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20"/>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1"/>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ppkt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2"/>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lastRenderedPageBreak/>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r w:rsidRPr="00ED6572">
        <w:rPr>
          <w:rFonts w:eastAsia="Times New Roman" w:cs="Arial"/>
          <w:sz w:val="24"/>
          <w:szCs w:val="24"/>
          <w:lang w:val="en-US" w:eastAsia="pl-PL"/>
        </w:rPr>
        <w:t xml:space="preserve">gdzie: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Default="00ED6572" w:rsidP="00ED6572">
      <w:pPr>
        <w:jc w:val="center"/>
        <w:rPr>
          <w:rFonts w:eastAsia="Times New Roman" w:cs="Arial"/>
          <w:b/>
          <w:bCs/>
          <w:sz w:val="24"/>
          <w:szCs w:val="24"/>
          <w:lang w:eastAsia="pl-PL"/>
        </w:rPr>
      </w:pPr>
      <w:r w:rsidRPr="00ED6572">
        <w:rPr>
          <w:rFonts w:eastAsia="Times New Roman" w:cs="Arial"/>
          <w:b/>
          <w:bCs/>
          <w:sz w:val="24"/>
          <w:szCs w:val="24"/>
          <w:lang w:eastAsia="pl-PL"/>
        </w:rPr>
        <w:t>ECR = EC * R</w:t>
      </w:r>
    </w:p>
    <w:p w:rsidR="00BD6C1D" w:rsidRDefault="00BD6C1D" w:rsidP="00ED6572">
      <w:pPr>
        <w:jc w:val="center"/>
        <w:rPr>
          <w:rFonts w:eastAsia="Times New Roman" w:cs="Arial"/>
          <w:b/>
          <w:bCs/>
          <w:sz w:val="24"/>
          <w:szCs w:val="24"/>
          <w:lang w:eastAsia="pl-PL"/>
        </w:rPr>
      </w:pPr>
    </w:p>
    <w:p w:rsidR="00BD6C1D" w:rsidRPr="00ED6572" w:rsidRDefault="00BD6C1D" w:rsidP="00ED6572">
      <w:pPr>
        <w:jc w:val="center"/>
        <w:rPr>
          <w:rFonts w:eastAsia="Times New Roman" w:cs="Arial"/>
          <w:sz w:val="24"/>
          <w:szCs w:val="24"/>
          <w:lang w:eastAsia="pl-PL"/>
        </w:rPr>
      </w:pP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lastRenderedPageBreak/>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Dotacja UE = ECR * Max CRpa</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CRpa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BD6C1D" w:rsidRPr="009E7C36" w:rsidRDefault="00BD6C1D" w:rsidP="009E7C36">
      <w:pPr>
        <w:autoSpaceDE w:val="0"/>
        <w:autoSpaceDN w:val="0"/>
        <w:adjustRightInd w:val="0"/>
        <w:spacing w:after="0"/>
        <w:jc w:val="both"/>
        <w:rPr>
          <w:b/>
          <w:sz w:val="24"/>
          <w:szCs w:val="24"/>
          <w:lang w:eastAsia="pl-PL"/>
        </w:rPr>
      </w:pPr>
    </w:p>
    <w:p w:rsidR="007127E2" w:rsidRPr="007127E2" w:rsidRDefault="007127E2" w:rsidP="007127E2">
      <w:pPr>
        <w:pStyle w:val="Nagwek2"/>
        <w:numPr>
          <w:ilvl w:val="1"/>
          <w:numId w:val="4"/>
        </w:numPr>
        <w:rPr>
          <w:b w:val="0"/>
          <w:i w:val="0"/>
        </w:rPr>
      </w:pPr>
      <w:bookmarkStart w:id="30" w:name="_Toc467746266"/>
      <w:r w:rsidRPr="007127E2">
        <w:rPr>
          <w:i w:val="0"/>
        </w:rPr>
        <w:t>Metoda zryczałtowanych procentowych staw</w:t>
      </w:r>
      <w:r>
        <w:rPr>
          <w:i w:val="0"/>
        </w:rPr>
        <w:t>ek</w:t>
      </w:r>
      <w:r w:rsidRPr="007127E2">
        <w:rPr>
          <w:i w:val="0"/>
        </w:rPr>
        <w:t xml:space="preserve"> dochodów</w:t>
      </w:r>
      <w:bookmarkEnd w:id="30"/>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2454"/>
        <w:gridCol w:w="2562"/>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lastRenderedPageBreak/>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3"/>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Dotacja UE = ECR * Max CRpa</w:t>
      </w:r>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CRpa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lastRenderedPageBreak/>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Max CRpa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31" w:name="_Toc467746267"/>
      <w:r>
        <w:rPr>
          <w:i w:val="0"/>
        </w:rPr>
        <w:t xml:space="preserve">Wskaźniki efektywności </w:t>
      </w:r>
      <w:r w:rsidRPr="0080373F">
        <w:rPr>
          <w:i w:val="0"/>
        </w:rPr>
        <w:t>finansowej</w:t>
      </w:r>
      <w:bookmarkEnd w:id="31"/>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lastRenderedPageBreak/>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BD6C1D" w:rsidRPr="00C62C66" w:rsidRDefault="00BD6C1D" w:rsidP="009F3632">
      <w:pPr>
        <w:pStyle w:val="Bezodstpw"/>
        <w:spacing w:line="276" w:lineRule="auto"/>
        <w:jc w:val="both"/>
        <w:rPr>
          <w:sz w:val="24"/>
          <w:szCs w:val="24"/>
        </w:rPr>
      </w:pPr>
    </w:p>
    <w:p w:rsidR="009F3632" w:rsidRPr="0080373F" w:rsidRDefault="009F3632" w:rsidP="009F3632">
      <w:pPr>
        <w:pStyle w:val="Nagwek2"/>
        <w:numPr>
          <w:ilvl w:val="1"/>
          <w:numId w:val="4"/>
        </w:numPr>
        <w:rPr>
          <w:i w:val="0"/>
        </w:rPr>
      </w:pPr>
      <w:bookmarkStart w:id="32" w:name="_Toc467746268"/>
      <w:r>
        <w:rPr>
          <w:i w:val="0"/>
        </w:rPr>
        <w:t xml:space="preserve">Analiza trwałości </w:t>
      </w:r>
      <w:r w:rsidRPr="0080373F">
        <w:rPr>
          <w:i w:val="0"/>
        </w:rPr>
        <w:t>finansowej</w:t>
      </w:r>
      <w:bookmarkEnd w:id="32"/>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lastRenderedPageBreak/>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3" w:name="_Toc467746269"/>
      <w:r>
        <w:t>Analiza kosztów i korzyści</w:t>
      </w:r>
      <w:bookmarkEnd w:id="33"/>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4"/>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r>
      <w:r w:rsidR="002C64A0" w:rsidRPr="00C32B9C">
        <w:rPr>
          <w:rFonts w:cs="Calibri,Italic"/>
          <w:b/>
          <w:iCs/>
          <w:sz w:val="24"/>
          <w:szCs w:val="24"/>
        </w:rPr>
        <w:lastRenderedPageBreak/>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4" w:name="_Toc467746270"/>
      <w:r>
        <w:t>Analiza wrażliwości i ryzyka</w:t>
      </w:r>
      <w:bookmarkEnd w:id="34"/>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BD1D12" w:rsidRDefault="00BD1D12" w:rsidP="00C522A0">
      <w:pPr>
        <w:pStyle w:val="Bezodstpw"/>
        <w:spacing w:line="276" w:lineRule="auto"/>
        <w:jc w:val="both"/>
        <w:rPr>
          <w:rFonts w:cs="Calibri"/>
          <w:sz w:val="24"/>
          <w:szCs w:val="24"/>
          <w:lang w:eastAsia="pl-PL"/>
        </w:rPr>
      </w:pPr>
    </w:p>
    <w:p w:rsidR="00BD6C1D" w:rsidRPr="0061432B" w:rsidRDefault="00BD6C1D" w:rsidP="00C522A0">
      <w:pPr>
        <w:pStyle w:val="Bezodstpw"/>
        <w:spacing w:line="276" w:lineRule="auto"/>
        <w:jc w:val="both"/>
        <w:rPr>
          <w:sz w:val="24"/>
          <w:szCs w:val="24"/>
        </w:rPr>
      </w:pPr>
    </w:p>
    <w:p w:rsidR="00CA7B10" w:rsidRDefault="00CA7B10" w:rsidP="00CA7B10">
      <w:pPr>
        <w:pStyle w:val="Nagwek1"/>
        <w:numPr>
          <w:ilvl w:val="0"/>
          <w:numId w:val="4"/>
        </w:numPr>
      </w:pPr>
      <w:bookmarkStart w:id="35" w:name="_Toc467746271"/>
      <w:r>
        <w:lastRenderedPageBreak/>
        <w:t xml:space="preserve">Analizy </w:t>
      </w:r>
      <w:r w:rsidR="00CD0B49">
        <w:t xml:space="preserve">i informacje </w:t>
      </w:r>
      <w:r>
        <w:t xml:space="preserve">specyficzne dla danego rodzaju </w:t>
      </w:r>
      <w:r w:rsidR="0059311F">
        <w:t xml:space="preserve">projektu </w:t>
      </w:r>
      <w:r>
        <w:t>lub sektora</w:t>
      </w:r>
      <w:bookmarkEnd w:id="35"/>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206135" w:rsidRPr="00F34B0C" w:rsidRDefault="00CD0B49" w:rsidP="00592190">
      <w:pPr>
        <w:jc w:val="both"/>
        <w:rPr>
          <w:b/>
          <w:sz w:val="24"/>
          <w:szCs w:val="24"/>
        </w:rPr>
      </w:pPr>
      <w:r w:rsidRPr="00CB116F">
        <w:rPr>
          <w:b/>
          <w:sz w:val="24"/>
          <w:szCs w:val="24"/>
        </w:rPr>
        <w:t>Przedstawione informacje i analizy muszą odnosić się do kryteriów oceny merytorycznej projektu –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325FEA" w:rsidRPr="006335E2" w:rsidRDefault="00325FEA" w:rsidP="00325FEA">
      <w:pPr>
        <w:pStyle w:val="Nagwek2"/>
        <w:numPr>
          <w:ilvl w:val="1"/>
          <w:numId w:val="4"/>
        </w:numPr>
        <w:rPr>
          <w:i w:val="0"/>
        </w:rPr>
      </w:pPr>
      <w:bookmarkStart w:id="36" w:name="_Toc467746272"/>
      <w:r w:rsidRPr="006335E2">
        <w:rPr>
          <w:i w:val="0"/>
        </w:rPr>
        <w:t>Projekty hybrydowe</w:t>
      </w:r>
      <w:bookmarkEnd w:id="36"/>
    </w:p>
    <w:p w:rsidR="00325FEA" w:rsidRPr="00C53CDA" w:rsidRDefault="00325FEA" w:rsidP="00325FEA">
      <w:pPr>
        <w:pStyle w:val="Default"/>
        <w:spacing w:after="142" w:line="276" w:lineRule="auto"/>
        <w:ind w:left="142"/>
        <w:jc w:val="both"/>
        <w:rPr>
          <w:rFonts w:ascii="Calibri" w:hAnsi="Calibri"/>
        </w:rPr>
      </w:pPr>
      <w:r w:rsidRPr="00C53CDA">
        <w:rPr>
          <w:rFonts w:ascii="Calibri" w:hAnsi="Calibri"/>
        </w:rPr>
        <w:t>W celu uwzględnienia specyfiki projektów hybrydowych, czyli łącząc</w:t>
      </w:r>
      <w:r>
        <w:rPr>
          <w:rFonts w:ascii="Calibri" w:hAnsi="Calibri"/>
        </w:rPr>
        <w:t xml:space="preserve">ych dofinansowanie UE z formułą </w:t>
      </w:r>
      <w:r w:rsidRPr="00C53CDA">
        <w:rPr>
          <w:rFonts w:ascii="Calibri" w:hAnsi="Calibri"/>
        </w:rPr>
        <w:t>partnerstwa publiczno-prywatnego (ppp), w rozporządzeniu nr 1303/2013 zawarto odrębny rozdział poświęcony tej tematyce</w:t>
      </w:r>
      <w:r w:rsidRPr="00C53CDA">
        <w:rPr>
          <w:rStyle w:val="Odwoanieprzypisudolnego"/>
          <w:rFonts w:ascii="Calibri" w:hAnsi="Calibri"/>
        </w:rPr>
        <w:footnoteReference w:id="25"/>
      </w:r>
      <w:r>
        <w:rPr>
          <w:rFonts w:ascii="Calibri" w:hAnsi="Calibri"/>
        </w:rPr>
        <w:t>.</w:t>
      </w:r>
    </w:p>
    <w:p w:rsidR="00325FEA" w:rsidRPr="00C53CDA" w:rsidRDefault="00325FEA" w:rsidP="00325FEA">
      <w:pPr>
        <w:pStyle w:val="Default"/>
        <w:spacing w:after="142" w:line="276" w:lineRule="auto"/>
        <w:ind w:left="142"/>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(Dz. U. z 2009 r. nr 19, poz. 100, z późn. zm.), ale również projekty, w których podstawą realizacji są inne akty prawne, m.in. </w:t>
      </w:r>
      <w:r w:rsidRPr="00C53CDA">
        <w:rPr>
          <w:rFonts w:ascii="Calibri" w:hAnsi="Calibri"/>
          <w:i/>
        </w:rPr>
        <w:t>ustawa z dnia 9 stycznia 2009 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rsidR="00325FEA" w:rsidRPr="00C53CDA" w:rsidRDefault="00325FEA" w:rsidP="00325FEA">
      <w:pPr>
        <w:pStyle w:val="Default"/>
        <w:spacing w:after="142" w:line="276" w:lineRule="auto"/>
        <w:ind w:left="142"/>
        <w:jc w:val="both"/>
        <w:rPr>
          <w:rFonts w:ascii="Calibri" w:hAnsi="Calibri"/>
        </w:rPr>
      </w:pPr>
      <w:r w:rsidRPr="00C53CDA">
        <w:rPr>
          <w:rFonts w:ascii="Calibri" w:hAnsi="Calibri"/>
        </w:rPr>
        <w:t xml:space="preserve">Szczególny charakter projektów hybrydowych został także wzięty pod uwagę w rozporządzeniu </w:t>
      </w:r>
      <w:r>
        <w:rPr>
          <w:rFonts w:ascii="Calibri" w:hAnsi="Calibri"/>
        </w:rPr>
        <w:br/>
      </w:r>
      <w:r w:rsidRPr="00C53CDA">
        <w:rPr>
          <w:rFonts w:ascii="Calibri" w:hAnsi="Calibri"/>
        </w:rPr>
        <w:t>nr 2015/207, jak również w rozporządzeniu nr 480/2014 dotyczącym m.in. kalkulacji dochodu w projektach generujących d</w:t>
      </w:r>
      <w:r>
        <w:rPr>
          <w:rFonts w:ascii="Calibri" w:hAnsi="Calibri"/>
        </w:rPr>
        <w:t>ochód</w:t>
      </w:r>
      <w:r w:rsidRPr="00C53CDA">
        <w:rPr>
          <w:rFonts w:ascii="Calibri" w:hAnsi="Calibri"/>
        </w:rPr>
        <w:t xml:space="preserve">. </w:t>
      </w:r>
    </w:p>
    <w:p w:rsidR="00325FEA" w:rsidRDefault="00325FEA" w:rsidP="00325FEA">
      <w:pPr>
        <w:pStyle w:val="Default"/>
        <w:spacing w:line="276" w:lineRule="auto"/>
        <w:jc w:val="both"/>
        <w:rPr>
          <w:rFonts w:ascii="Calibri" w:hAnsi="Calibri"/>
        </w:rPr>
      </w:pPr>
      <w:r>
        <w:rPr>
          <w:rFonts w:ascii="Calibri" w:hAnsi="Calibri"/>
        </w:rPr>
        <w:t>Szczegółowe informacje dotyczące przygotowania i realizacji projektów hybrydowych (dot. m.in. różnych form/modeli łączenia dotacji UE z formułą ppp, analizy finansowej, wejścia partnera prywatnego w prawa i obowiązki beneficjenta, itd.) zostały zawarte w rozdziale 12</w:t>
      </w:r>
      <w:r w:rsidRPr="00387B8B">
        <w:rPr>
          <w:rFonts w:ascii="Calibri" w:hAnsi="Calibri"/>
        </w:rPr>
        <w:t xml:space="preserve"> </w:t>
      </w:r>
      <w:r w:rsidRPr="00387B8B">
        <w:rPr>
          <w:rFonts w:ascii="Calibri" w:hAnsi="Calibri"/>
          <w:i/>
        </w:rPr>
        <w:t>Wytycznych w zakresie zagadnień związanych z przygotowaniem projektów inwestycyjnych, w tym projektów generujących dochód i projektów hybrydowych na lata 2014-2020</w:t>
      </w:r>
      <w:r>
        <w:rPr>
          <w:rFonts w:ascii="Calibri" w:hAnsi="Calibri"/>
        </w:rPr>
        <w:t>.</w:t>
      </w:r>
    </w:p>
    <w:p w:rsidR="00325FEA" w:rsidRDefault="00325FEA" w:rsidP="00325FEA">
      <w:pPr>
        <w:pStyle w:val="Nagwek2"/>
        <w:numPr>
          <w:ilvl w:val="1"/>
          <w:numId w:val="4"/>
        </w:numPr>
        <w:rPr>
          <w:i w:val="0"/>
        </w:rPr>
      </w:pPr>
      <w:bookmarkStart w:id="37" w:name="_Toc467746273"/>
      <w:r>
        <w:rPr>
          <w:i w:val="0"/>
        </w:rPr>
        <w:t>Poprawa efektywności energetycznej w sektorze publicznym i mieszkaniowym</w:t>
      </w:r>
      <w:bookmarkEnd w:id="37"/>
    </w:p>
    <w:p w:rsidR="00C4342E" w:rsidRPr="00C4342E" w:rsidRDefault="00C4342E" w:rsidP="00C4342E"/>
    <w:p w:rsidR="00F859C4" w:rsidRPr="00524C48" w:rsidRDefault="00F859C4" w:rsidP="00F859C4">
      <w:pPr>
        <w:pStyle w:val="Default"/>
        <w:spacing w:line="276" w:lineRule="auto"/>
        <w:ind w:left="450"/>
        <w:jc w:val="both"/>
        <w:rPr>
          <w:rFonts w:ascii="Calibri" w:hAnsi="Calibri"/>
          <w:b/>
        </w:rPr>
      </w:pPr>
      <w:r w:rsidRPr="00524C48">
        <w:rPr>
          <w:rFonts w:ascii="Calibri" w:hAnsi="Calibri"/>
          <w:b/>
          <w:i/>
        </w:rPr>
        <w:lastRenderedPageBreak/>
        <w:t xml:space="preserve">Zgodnie z zapisami Szczegółowego Opisu Osi Priorytetowych Regionalnego Programu Operacyjnego Województwa Świętokrzyskiego na lata 2014-2020 w części dotyczącej Działania 3.3 w ramach niniejszego konkursu </w:t>
      </w:r>
      <w:r w:rsidRPr="00524C48">
        <w:rPr>
          <w:rFonts w:ascii="Calibri" w:hAnsi="Calibri"/>
          <w:b/>
          <w:bCs/>
        </w:rPr>
        <w:t xml:space="preserve">przedkładane do wsparcia projekty muszą wpisywać się w plany gospodarki niskoemisyjnej </w:t>
      </w:r>
    </w:p>
    <w:p w:rsidR="00F859C4" w:rsidRPr="00524C48" w:rsidRDefault="00F859C4" w:rsidP="00F859C4">
      <w:pPr>
        <w:pStyle w:val="Nagwek2"/>
        <w:ind w:left="450"/>
        <w:jc w:val="both"/>
        <w:rPr>
          <w:rFonts w:ascii="Calibri" w:hAnsi="Calibri"/>
          <w:sz w:val="24"/>
          <w:szCs w:val="24"/>
        </w:rPr>
      </w:pPr>
      <w:bookmarkStart w:id="38" w:name="_Toc467502520"/>
      <w:bookmarkStart w:id="39" w:name="_Toc467746274"/>
      <w:r w:rsidRPr="00524C48">
        <w:rPr>
          <w:rFonts w:ascii="Calibri" w:hAnsi="Calibri"/>
          <w:sz w:val="24"/>
          <w:szCs w:val="24"/>
        </w:rPr>
        <w:t xml:space="preserve">Dla przedsięwzięcia służącego poprawie efektywności energetycznej polegającego na realizacji przedsięwzięcia termomodernizacyjnego w rozumieniu ustawy o wspieraniu termomodernizacji </w:t>
      </w:r>
      <w:r w:rsidRPr="00524C48">
        <w:rPr>
          <w:rFonts w:ascii="Calibri" w:hAnsi="Calibri"/>
          <w:sz w:val="24"/>
          <w:szCs w:val="24"/>
        </w:rPr>
        <w:br/>
        <w:t xml:space="preserve">i remontów konieczne jest sporządzenie audytu  energetycznego.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 rozumieniu ustawy z dnia 21 listopada 2008 r. o wspieraniu termomodernizacji i remontów, jeśli celem projektu jest przedsięwzięcie termomodernizacyjne (Dz.U. 2008 Nr 223 poz. 1459 z późn. zm.) lub audyt efektywności energetycznej w rozumieniu ustawy z dnia 15 kwietnia 2011 r. o efektywności energetycznej, jeśli celem projektu jest przedsięwzięcie służące poprawie efektywności energetycznej np. przewiduje  dodatkowo </w:t>
      </w:r>
      <w:r w:rsidRPr="00524C48">
        <w:rPr>
          <w:rFonts w:ascii="Calibri" w:hAnsi="Calibri"/>
          <w:color w:val="000000"/>
          <w:sz w:val="24"/>
          <w:szCs w:val="24"/>
        </w:rPr>
        <w:t>modernizację oświetlenia, modernizację sieci ciepłowniczej</w:t>
      </w:r>
      <w:r w:rsidRPr="00524C48">
        <w:rPr>
          <w:rFonts w:ascii="Calibri" w:hAnsi="Calibri"/>
          <w:sz w:val="24"/>
          <w:szCs w:val="24"/>
        </w:rPr>
        <w:t xml:space="preserve"> lub lokalnych źródeł ciepła</w:t>
      </w:r>
      <w:r w:rsidRPr="00524C48">
        <w:rPr>
          <w:rFonts w:ascii="Calibri" w:hAnsi="Calibri"/>
          <w:color w:val="000000"/>
          <w:sz w:val="24"/>
          <w:szCs w:val="24"/>
        </w:rPr>
        <w:t xml:space="preserve">, </w:t>
      </w:r>
      <w:r w:rsidRPr="00524C48">
        <w:rPr>
          <w:rFonts w:ascii="Calibri" w:hAnsi="Calibri"/>
          <w:sz w:val="24"/>
          <w:szCs w:val="24"/>
        </w:rPr>
        <w:t>stosowanie do ogrzewania lub chłodzenia obiektów energii wytwarzanej we własnych lub przyłączonych do sieci odnawialnych źródłach energii (Dz. U. z 2011 r. Nr 94, poz. 551 z póź zm.)</w:t>
      </w:r>
      <w:bookmarkEnd w:id="38"/>
      <w:bookmarkEnd w:id="39"/>
    </w:p>
    <w:p w:rsidR="00F859C4" w:rsidRPr="00524C48" w:rsidRDefault="00F859C4" w:rsidP="00F859C4">
      <w:pPr>
        <w:pStyle w:val="Akapitzlist"/>
        <w:autoSpaceDE w:val="0"/>
        <w:autoSpaceDN w:val="0"/>
        <w:adjustRightInd w:val="0"/>
        <w:spacing w:after="0"/>
        <w:ind w:left="450"/>
        <w:jc w:val="both"/>
        <w:rPr>
          <w:b/>
          <w:sz w:val="24"/>
          <w:szCs w:val="24"/>
        </w:rPr>
      </w:pPr>
      <w:r w:rsidRPr="00524C48">
        <w:rPr>
          <w:b/>
          <w:sz w:val="24"/>
          <w:szCs w:val="24"/>
        </w:rPr>
        <w:t xml:space="preserve">Ponadto w ramach działania </w:t>
      </w:r>
      <w:r w:rsidR="006562B0" w:rsidRPr="00524C48">
        <w:rPr>
          <w:b/>
          <w:sz w:val="24"/>
          <w:szCs w:val="24"/>
        </w:rPr>
        <w:t>3.3</w:t>
      </w:r>
      <w:r w:rsidRPr="00524C48">
        <w:rPr>
          <w:b/>
          <w:sz w:val="24"/>
          <w:szCs w:val="24"/>
        </w:rPr>
        <w:t xml:space="preserve"> wsparcie znajdą przedsięwzięcia z zakresu kompleksowej modernizacji energetycznej budynków użyteczności  publicznej wraz z wymianą wyposażenia tych obiektów na energooszczędne zgodnie z wynikami audytów energetycznych/audytów efektywności ener</w:t>
      </w:r>
      <w:r w:rsidR="006562B0" w:rsidRPr="00524C48">
        <w:rPr>
          <w:b/>
          <w:sz w:val="24"/>
          <w:szCs w:val="24"/>
        </w:rPr>
        <w:t xml:space="preserve">getycznej w zakresie związanym </w:t>
      </w:r>
      <w:r w:rsidRPr="00524C48">
        <w:rPr>
          <w:b/>
          <w:sz w:val="24"/>
          <w:szCs w:val="24"/>
        </w:rPr>
        <w:t>m.in. z: instalacją OZE w modernizowanych energetycznie budynkach oraz instalacją systemów chłodzących, w tym również z OZE. Instalacje wykorzystujące OZE powinny zostać zaprojektowane (obliczone), w sposób gwarantujący, że wytworzona energia pochodząca ze źródeł odnawialnych wykorzystana będzie wyłącznie na potrzeby własne</w:t>
      </w:r>
      <w:r w:rsidR="00524C48" w:rsidRPr="00524C48">
        <w:rPr>
          <w:b/>
          <w:sz w:val="24"/>
          <w:szCs w:val="24"/>
        </w:rPr>
        <w:t xml:space="preserve"> </w:t>
      </w:r>
      <w:r w:rsidRPr="00524C48">
        <w:rPr>
          <w:b/>
          <w:sz w:val="24"/>
          <w:szCs w:val="24"/>
        </w:rPr>
        <w:t>(np. ogrzewanie, chłodzenie, oświetlenie). Ewentualne nadwyżki energii odprowadzane do sieci powinny bilansować się z pobieraną energią w obowiązującym okresie rozliczeniowym określonym u danego operatora energii  (ze względu na co roczne monitorowanie dochodu projektu w okresie jego trwałości stosownym wydaje się zastosowanie okresu rocznego)</w:t>
      </w:r>
      <w:r w:rsidRPr="00524C48">
        <w:rPr>
          <w:b/>
          <w:color w:val="FF0000"/>
          <w:sz w:val="24"/>
          <w:szCs w:val="24"/>
        </w:rPr>
        <w:t xml:space="preserve">. </w:t>
      </w:r>
      <w:r w:rsidRPr="00524C48">
        <w:rPr>
          <w:b/>
          <w:sz w:val="24"/>
          <w:szCs w:val="24"/>
        </w:rPr>
        <w:t>Natomiast w przypadku, gdy wnioskodawca przewiduje możliwość sprzedaży nadwyżek energii elektrycznej lub ciepła (nawet jeśli nadwyżki takie stanowią znikomą część wytwarzanej energii i mają charakter incydentalny) lub nie będzie ich sprzedawał, ale wytwarzaną w mikroinstalacji energię lub ciepło wykorzystywać będzie w działalności gospodarczej prowadzonej na rynku otwartym (np. wynajem lokali, produkcja, gastronomia, usługi noclegowe), to działanie takie powoduje ryzyko wystąpienia pomocy publicznej, a co za tym idzie ewentualną konieczność zastosowania przepisów o pomocy publicznej.</w:t>
      </w:r>
    </w:p>
    <w:p w:rsidR="00551DE9" w:rsidRPr="00524C48" w:rsidRDefault="00551DE9" w:rsidP="00551DE9">
      <w:pPr>
        <w:pStyle w:val="Akapitzlist"/>
        <w:ind w:left="0"/>
        <w:jc w:val="both"/>
        <w:rPr>
          <w:b/>
          <w:sz w:val="24"/>
          <w:szCs w:val="24"/>
        </w:rPr>
      </w:pPr>
      <w:r w:rsidRPr="00524C48">
        <w:rPr>
          <w:b/>
          <w:sz w:val="24"/>
          <w:szCs w:val="24"/>
        </w:rPr>
        <w:t>W tym punkcie należy określić:</w:t>
      </w:r>
    </w:p>
    <w:p w:rsidR="00551DE9" w:rsidRPr="00524C48" w:rsidRDefault="00551DE9" w:rsidP="00551DE9">
      <w:pPr>
        <w:pStyle w:val="Akapitzlist"/>
        <w:spacing w:after="0"/>
        <w:ind w:left="0"/>
        <w:jc w:val="both"/>
        <w:rPr>
          <w:b/>
          <w:sz w:val="24"/>
          <w:szCs w:val="24"/>
        </w:rPr>
      </w:pPr>
      <w:r w:rsidRPr="00524C48">
        <w:rPr>
          <w:b/>
          <w:sz w:val="24"/>
          <w:szCs w:val="24"/>
        </w:rPr>
        <w:t xml:space="preserve">1. Poprawę efektywności energetycznej i redukcję CO2 </w:t>
      </w:r>
    </w:p>
    <w:p w:rsidR="00551DE9" w:rsidRPr="00524C48" w:rsidRDefault="00551DE9" w:rsidP="00551DE9">
      <w:pPr>
        <w:pStyle w:val="Default"/>
        <w:spacing w:line="276" w:lineRule="auto"/>
        <w:jc w:val="both"/>
        <w:rPr>
          <w:rFonts w:ascii="Calibri" w:hAnsi="Calibri"/>
          <w:b/>
          <w:color w:val="auto"/>
        </w:rPr>
      </w:pPr>
      <w:r w:rsidRPr="00524C48">
        <w:rPr>
          <w:rFonts w:ascii="Calibri" w:hAnsi="Calibri"/>
          <w:b/>
          <w:color w:val="auto"/>
        </w:rPr>
        <w:t xml:space="preserve">Sprawdzane będzie czy przewidziane rozwiązania/działania skutkują poprawą efektywności energetycznej określonej dla energii końcowej, o co najmniej 25% w odniesieniu do stanu istniejącego (wyjściowego). </w:t>
      </w:r>
    </w:p>
    <w:p w:rsidR="00F45AC0" w:rsidRPr="00F45AC0" w:rsidRDefault="00551DE9" w:rsidP="00F45AC0">
      <w:pPr>
        <w:pStyle w:val="Default"/>
        <w:jc w:val="both"/>
        <w:rPr>
          <w:rFonts w:ascii="Calibri" w:hAnsi="Calibri" w:cs="Calibri"/>
          <w:b/>
        </w:rPr>
      </w:pPr>
      <w:r w:rsidRPr="00524C48">
        <w:rPr>
          <w:rFonts w:ascii="Calibri" w:hAnsi="Calibri"/>
          <w:b/>
        </w:rPr>
        <w:t xml:space="preserve">W przypadku działań/rozwiązań związanych z wymianą indywidualnego źródła ciepła na zasilane paliwem gazowym lub biomasą konieczne jest uzyskanie redukcji emisji CO2, o co najmniej 30% </w:t>
      </w:r>
      <w:r w:rsidRPr="00524C48">
        <w:rPr>
          <w:rFonts w:ascii="Calibri" w:hAnsi="Calibri"/>
          <w:b/>
        </w:rPr>
        <w:br/>
      </w:r>
      <w:r w:rsidRPr="00524C48">
        <w:rPr>
          <w:rFonts w:ascii="Calibri" w:hAnsi="Calibri"/>
          <w:b/>
        </w:rPr>
        <w:lastRenderedPageBreak/>
        <w:t xml:space="preserve">w odniesieniu do stanu istniejącego (wyjściowego). </w:t>
      </w:r>
      <w:r w:rsidRPr="00524C48">
        <w:rPr>
          <w:rFonts w:ascii="Calibri" w:eastAsia="Times New Roman" w:hAnsi="Calibri"/>
          <w:b/>
        </w:rPr>
        <w:t xml:space="preserve">Natomiast projekty dot. wymiany indywidualnych pieców i mikrokogeneracji muszą </w:t>
      </w:r>
      <w:r w:rsidR="00524C48">
        <w:rPr>
          <w:rFonts w:ascii="Calibri" w:eastAsia="Times New Roman" w:hAnsi="Calibri"/>
          <w:b/>
        </w:rPr>
        <w:t xml:space="preserve">skutkować znaczną redukcją CO2 </w:t>
      </w:r>
      <w:r w:rsidRPr="00524C48">
        <w:rPr>
          <w:rFonts w:ascii="Calibri" w:eastAsia="Times New Roman" w:hAnsi="Calibri"/>
          <w:b/>
        </w:rPr>
        <w:t>w odniesieniu do istniejących instalacji, tj. o co najmniej 30% w przypadku zamiany spalanego paliwa.</w:t>
      </w:r>
      <w:r w:rsidR="00F45AC0">
        <w:rPr>
          <w:rFonts w:ascii="Calibri" w:eastAsia="Times New Roman" w:hAnsi="Calibri"/>
          <w:b/>
        </w:rPr>
        <w:t xml:space="preserve"> </w:t>
      </w:r>
      <w:r w:rsidR="00F45AC0" w:rsidRPr="00F45AC0">
        <w:rPr>
          <w:rFonts w:ascii="Calibri" w:hAnsi="Calibri" w:cs="Calibri"/>
          <w:b/>
        </w:rPr>
        <w:t xml:space="preserve">Wspierane w ramach projektu urządzenia do ogrzewania muszą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Projekt musi spełniać warunki dyrektywy 2006/32/EC, oraz być zgodny z dyrektywą 2012/27/EU, w której kontynuowane są wymogi dyrektywy 2006/32/EC w sprawie indywidualnego pomiaru ciepła. Wymiana indywidualnego źródła ciepła na źródło opalane paliwem gazowym lub biomasą, może uzyskać </w:t>
      </w:r>
      <w:r w:rsidR="00F45AC0" w:rsidRPr="00F45AC0">
        <w:rPr>
          <w:rFonts w:ascii="Calibri" w:hAnsi="Calibri" w:cs="Calibri"/>
          <w:b/>
          <w:i/>
          <w:iCs/>
        </w:rPr>
        <w:t xml:space="preserve">wsparcie jedynie w przypadku, gdy podłączenie do sieci ciepłowniczej na danym obszarze nie jest uzasadnione ekonomicznie. </w:t>
      </w:r>
      <w:r w:rsidR="00F45AC0" w:rsidRPr="00F45AC0">
        <w:rPr>
          <w:rFonts w:ascii="Calibri" w:hAnsi="Calibri" w:cs="Calibri"/>
          <w:b/>
        </w:rPr>
        <w:t xml:space="preserve">Dodatkowo kotły muszą zostać wyposażone w automatyczny podajnik paliwa i nie posiadać rusztu awaryjnego ani elementów umożliwiających jego zamontowanie. </w:t>
      </w:r>
    </w:p>
    <w:p w:rsidR="00551DE9" w:rsidRPr="00524C48" w:rsidRDefault="00551DE9" w:rsidP="00551DE9">
      <w:pPr>
        <w:pStyle w:val="Akapitzlist"/>
        <w:ind w:left="0"/>
        <w:jc w:val="both"/>
        <w:rPr>
          <w:rFonts w:eastAsia="Times New Roman" w:cs="Arial"/>
          <w:b/>
          <w:sz w:val="24"/>
          <w:szCs w:val="24"/>
          <w:lang w:eastAsia="pl-PL"/>
        </w:rPr>
      </w:pPr>
    </w:p>
    <w:p w:rsidR="00F45AC0" w:rsidRDefault="00551DE9" w:rsidP="00551DE9">
      <w:pPr>
        <w:pStyle w:val="Akapitzlist"/>
        <w:ind w:left="0"/>
        <w:jc w:val="both"/>
        <w:rPr>
          <w:b/>
          <w:sz w:val="24"/>
          <w:szCs w:val="24"/>
        </w:rPr>
      </w:pPr>
      <w:r w:rsidRPr="00524C48">
        <w:rPr>
          <w:b/>
          <w:sz w:val="24"/>
          <w:szCs w:val="24"/>
        </w:rPr>
        <w:t xml:space="preserve">3. Czy projekt obejmuje instalację indywidualnych liczników ciepła, ciepłej wody, chłodu </w:t>
      </w:r>
    </w:p>
    <w:p w:rsidR="00551DE9" w:rsidRPr="00524C48" w:rsidRDefault="00551DE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4.</w:t>
      </w:r>
      <w:r w:rsidRPr="00524C48">
        <w:rPr>
          <w:b/>
          <w:sz w:val="24"/>
          <w:szCs w:val="24"/>
        </w:rPr>
        <w:t xml:space="preserve"> Czy projekt obejmuje</w:t>
      </w:r>
      <w:r w:rsidRPr="00524C48">
        <w:rPr>
          <w:rFonts w:eastAsia="Times New Roman" w:cs="Arial"/>
          <w:b/>
          <w:sz w:val="24"/>
          <w:szCs w:val="24"/>
          <w:lang w:eastAsia="pl-PL"/>
        </w:rPr>
        <w:t xml:space="preserve"> instalację termostatów i zaworów podpionowych</w:t>
      </w:r>
    </w:p>
    <w:p w:rsidR="00551DE9" w:rsidRPr="00524C48" w:rsidRDefault="00551DE9" w:rsidP="00551DE9">
      <w:pPr>
        <w:pStyle w:val="Akapitzlist"/>
        <w:ind w:left="0"/>
        <w:jc w:val="both"/>
        <w:rPr>
          <w:rFonts w:eastAsia="Times New Roman" w:cs="Arial"/>
          <w:b/>
          <w:sz w:val="24"/>
          <w:szCs w:val="24"/>
          <w:lang w:eastAsia="pl-PL"/>
        </w:rPr>
      </w:pPr>
      <w:r w:rsidRPr="00524C48">
        <w:rPr>
          <w:b/>
          <w:sz w:val="24"/>
          <w:szCs w:val="24"/>
        </w:rPr>
        <w:t xml:space="preserve">6. W przypadku projektów dotyczących </w:t>
      </w:r>
      <w:r w:rsidRPr="00524C48">
        <w:rPr>
          <w:rFonts w:eastAsia="Times New Roman" w:cs="Arial"/>
          <w:b/>
          <w:sz w:val="24"/>
          <w:szCs w:val="24"/>
          <w:lang w:eastAsia="pl-PL"/>
        </w:rPr>
        <w:t xml:space="preserve">termomodernizacji budynków związanych z ochroną zdrowia należy wskazać czy projekt wynika i czy jest zgodny z </w:t>
      </w:r>
      <w:r w:rsidRPr="00524C48">
        <w:rPr>
          <w:rFonts w:eastAsia="Times New Roman" w:cs="Arial"/>
          <w:b/>
          <w:i/>
          <w:sz w:val="24"/>
          <w:szCs w:val="24"/>
          <w:lang w:eastAsia="pl-PL"/>
        </w:rPr>
        <w:t>mapą potrzeb zdrowotnych</w:t>
      </w:r>
      <w:r w:rsidRPr="00524C48">
        <w:rPr>
          <w:rFonts w:eastAsia="Times New Roman" w:cs="Arial"/>
          <w:b/>
          <w:sz w:val="24"/>
          <w:szCs w:val="24"/>
          <w:lang w:eastAsia="pl-PL"/>
        </w:rPr>
        <w:t xml:space="preserve"> opracowaną przez Ministerstwo Zdrowia.</w:t>
      </w:r>
    </w:p>
    <w:p w:rsidR="00B00CFB" w:rsidRPr="00524C48" w:rsidRDefault="00551DE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7. Czy ilość energ</w:t>
      </w:r>
      <w:r w:rsidR="00305447" w:rsidRPr="00524C48">
        <w:rPr>
          <w:rFonts w:eastAsia="Times New Roman" w:cs="Arial"/>
          <w:b/>
          <w:sz w:val="24"/>
          <w:szCs w:val="24"/>
          <w:lang w:eastAsia="pl-PL"/>
        </w:rPr>
        <w:t>i</w:t>
      </w:r>
      <w:r w:rsidRPr="00524C48">
        <w:rPr>
          <w:rFonts w:eastAsia="Times New Roman" w:cs="Arial"/>
          <w:b/>
          <w:sz w:val="24"/>
          <w:szCs w:val="24"/>
          <w:lang w:eastAsia="pl-PL"/>
        </w:rPr>
        <w:t>i wykorzystanej na potrzeby własne jest dominująca w stosunku do całości energii wytworzonej w instalacjach OZE I potwierdzona audytem energetycznym. Czy zastosowane w ramach projektu urządzenia do wytwarzania energii ze źródeł odnawialnych są dostosowane do rocznego zapotrzebowania wnioskodawcy na energię elektryczną lub energię cieplną.</w:t>
      </w:r>
    </w:p>
    <w:p w:rsidR="00305447" w:rsidRPr="00524C48" w:rsidRDefault="00305447"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 xml:space="preserve">8. Podać wskaźnik zużycia rocznej energii użytkowej zgodnie z </w:t>
      </w:r>
      <w:r w:rsidR="009C0814" w:rsidRPr="00524C48">
        <w:rPr>
          <w:rFonts w:eastAsia="Times New Roman" w:cs="Arial"/>
          <w:b/>
          <w:sz w:val="24"/>
          <w:szCs w:val="24"/>
          <w:lang w:eastAsia="pl-PL"/>
        </w:rPr>
        <w:t>Rozporządzeniem</w:t>
      </w:r>
      <w:r w:rsidRPr="00524C48">
        <w:rPr>
          <w:rFonts w:eastAsia="Times New Roman" w:cs="Arial"/>
          <w:b/>
          <w:sz w:val="24"/>
          <w:szCs w:val="24"/>
          <w:lang w:eastAsia="pl-PL"/>
        </w:rPr>
        <w:t xml:space="preserve"> Ministra Infrastruktury</w:t>
      </w:r>
      <w:r w:rsidR="009C0814">
        <w:rPr>
          <w:rFonts w:eastAsia="Times New Roman" w:cs="Arial"/>
          <w:b/>
          <w:sz w:val="24"/>
          <w:szCs w:val="24"/>
          <w:lang w:eastAsia="pl-PL"/>
        </w:rPr>
        <w:br/>
      </w:r>
      <w:r w:rsidRPr="00524C48">
        <w:rPr>
          <w:rFonts w:eastAsia="Times New Roman" w:cs="Arial"/>
          <w:b/>
          <w:sz w:val="24"/>
          <w:szCs w:val="24"/>
          <w:lang w:eastAsia="pl-PL"/>
        </w:rPr>
        <w:t xml:space="preserve"> i Rozwoju z dn. 23.02.2015r</w:t>
      </w:r>
    </w:p>
    <w:p w:rsidR="00305447" w:rsidRPr="00524C48" w:rsidRDefault="00305447"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 xml:space="preserve">9. Czy i jakie funcie społeczne spełnia budynek </w:t>
      </w:r>
    </w:p>
    <w:p w:rsidR="001F13D9" w:rsidRPr="00524C48" w:rsidRDefault="001F13D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10. Określić redukcję CO2 do powietrza wyrażona w Mg/rok. Wskaźnik powinien być ujęty we wniosku.</w:t>
      </w:r>
    </w:p>
    <w:p w:rsidR="001F13D9" w:rsidRPr="00524C48" w:rsidRDefault="001F13D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11. Określić wartość wskaźnika w % dotyczącego wykorzystania energii odnawialnej w stosunku do zapotrzebowania na energię po realizacji projektu.</w:t>
      </w:r>
    </w:p>
    <w:p w:rsidR="001F13D9" w:rsidRPr="00524C48" w:rsidRDefault="001F13D9"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 xml:space="preserve">12. Należy przedstawić czy projekt wynika z Programu Rewitalizacji </w:t>
      </w:r>
    </w:p>
    <w:p w:rsidR="00524C48" w:rsidRDefault="00524C48" w:rsidP="00551DE9">
      <w:pPr>
        <w:pStyle w:val="Akapitzlist"/>
        <w:ind w:left="0"/>
        <w:jc w:val="both"/>
        <w:rPr>
          <w:rFonts w:eastAsia="Times New Roman" w:cs="Arial"/>
          <w:b/>
          <w:sz w:val="24"/>
          <w:szCs w:val="24"/>
          <w:lang w:eastAsia="pl-PL"/>
        </w:rPr>
      </w:pPr>
      <w:r w:rsidRPr="00524C48">
        <w:rPr>
          <w:rFonts w:eastAsia="Times New Roman" w:cs="Arial"/>
          <w:b/>
          <w:sz w:val="24"/>
          <w:szCs w:val="24"/>
          <w:lang w:eastAsia="pl-PL"/>
        </w:rPr>
        <w:t>13. Określić stopień przygotowania projektu do realizacji</w:t>
      </w:r>
    </w:p>
    <w:p w:rsidR="00E30BC1" w:rsidRPr="00524C48" w:rsidRDefault="00E30BC1" w:rsidP="00551DE9">
      <w:pPr>
        <w:pStyle w:val="Akapitzlist"/>
        <w:ind w:left="0"/>
        <w:jc w:val="both"/>
        <w:rPr>
          <w:rFonts w:eastAsia="Times New Roman" w:cs="Arial"/>
          <w:b/>
          <w:sz w:val="24"/>
          <w:szCs w:val="24"/>
          <w:lang w:eastAsia="pl-PL"/>
        </w:rPr>
      </w:pPr>
      <w:r>
        <w:rPr>
          <w:rFonts w:eastAsia="Times New Roman" w:cs="Arial"/>
          <w:b/>
          <w:sz w:val="24"/>
          <w:szCs w:val="24"/>
          <w:lang w:eastAsia="pl-PL"/>
        </w:rPr>
        <w:t>14. Podać powierzchnie budynków, poddawanych modernizacji energetycznej</w:t>
      </w:r>
    </w:p>
    <w:p w:rsidR="00B00CFB" w:rsidRDefault="00BD1D12" w:rsidP="006143F5">
      <w:pPr>
        <w:pStyle w:val="Default"/>
        <w:spacing w:line="276" w:lineRule="auto"/>
        <w:jc w:val="both"/>
        <w:rPr>
          <w:rFonts w:ascii="Calibri" w:hAnsi="Calibri"/>
          <w:b/>
          <w:i/>
          <w:iCs/>
        </w:rPr>
      </w:pPr>
      <w:r w:rsidRPr="00BD1D12">
        <w:rPr>
          <w:rFonts w:ascii="Calibri" w:hAnsi="Calibri"/>
          <w:b/>
          <w:i/>
          <w:iCs/>
        </w:rPr>
        <w:t>ZgodniezestanowiskiemMIR–cyt.:„(…)powinnybyćspełnionewarunkiświadcząceotym,żeplacówkaniezmieniswegocharakteruconajmniejprzezokrestrwałościprojektu,gdyżniezasadnesąinwestycjewobiekty,którewkontekściemappotrzebzdrowotnychniepowinnyfunkcjonować.Zatembeneficjent(…)powinienprzeprowadzićanalizęuwarunkowańwkontekściemappotrzebzdrowotnych,oczywiścienajlepiejdlawszystkichschorzeńleczonychwplacówce.”</w:t>
      </w:r>
    </w:p>
    <w:p w:rsidR="006E58B3" w:rsidRPr="00524C48" w:rsidRDefault="006E58B3" w:rsidP="006143F5">
      <w:pPr>
        <w:pStyle w:val="Default"/>
        <w:spacing w:line="276" w:lineRule="auto"/>
        <w:jc w:val="both"/>
        <w:rPr>
          <w:rFonts w:ascii="Calibri" w:hAnsi="Calibri"/>
          <w:b/>
        </w:rPr>
      </w:pPr>
    </w:p>
    <w:p w:rsidR="006E58B3" w:rsidRPr="006E58B3" w:rsidRDefault="006E58B3" w:rsidP="006E58B3">
      <w:pPr>
        <w:pStyle w:val="Nagwek1"/>
        <w:numPr>
          <w:ilvl w:val="0"/>
          <w:numId w:val="4"/>
        </w:numPr>
      </w:pPr>
      <w:bookmarkStart w:id="40" w:name="_Toc467746275"/>
      <w:r>
        <w:t xml:space="preserve">Analiza potrzeb zdrowotnych Podstawowej Opieki Zdrowotnej </w:t>
      </w:r>
      <w:r w:rsidRPr="006E58B3">
        <w:rPr>
          <w:rFonts w:asciiTheme="minorHAnsi" w:hAnsiTheme="minorHAnsi"/>
          <w:sz w:val="24"/>
          <w:szCs w:val="24"/>
          <w:lang w:eastAsia="pl-PL"/>
        </w:rPr>
        <w:t>(dotyczy POZ będących własnością gminy, znajdujących się poza mapami potrzeb zdrowotnych)</w:t>
      </w:r>
      <w:bookmarkEnd w:id="40"/>
    </w:p>
    <w:p w:rsidR="006E58B3" w:rsidRPr="006E58B3" w:rsidRDefault="006E58B3" w:rsidP="006E58B3">
      <w:pPr>
        <w:spacing w:after="0" w:line="240" w:lineRule="auto"/>
        <w:rPr>
          <w:rFonts w:asciiTheme="minorHAnsi" w:eastAsia="Times New Roman" w:hAnsiTheme="minorHAnsi"/>
          <w:sz w:val="24"/>
          <w:szCs w:val="24"/>
          <w:lang w:eastAsia="pl-PL"/>
        </w:rPr>
      </w:pPr>
    </w:p>
    <w:p w:rsidR="006E58B3" w:rsidRPr="006E58B3" w:rsidRDefault="006E58B3" w:rsidP="006E58B3">
      <w:pPr>
        <w:spacing w:after="0" w:line="240" w:lineRule="auto"/>
        <w:ind w:left="450"/>
        <w:jc w:val="both"/>
        <w:rPr>
          <w:rFonts w:asciiTheme="minorHAnsi" w:eastAsia="Times New Roman" w:hAnsiTheme="minorHAnsi"/>
          <w:sz w:val="24"/>
          <w:szCs w:val="24"/>
          <w:lang w:eastAsia="pl-PL"/>
        </w:rPr>
      </w:pPr>
      <w:r w:rsidRPr="006E58B3">
        <w:rPr>
          <w:rFonts w:asciiTheme="minorHAnsi" w:eastAsia="Times New Roman" w:hAnsiTheme="minorHAnsi"/>
          <w:sz w:val="24"/>
          <w:szCs w:val="24"/>
          <w:lang w:eastAsia="pl-PL"/>
        </w:rPr>
        <w:lastRenderedPageBreak/>
        <w:t>Ocena (oszacowanie) potrzeb w ochronie zdrowia jest ważnym narzędziem w ustalaniu priorytetów</w:t>
      </w:r>
      <w:r>
        <w:rPr>
          <w:rFonts w:asciiTheme="minorHAnsi" w:eastAsia="Times New Roman" w:hAnsiTheme="minorHAnsi"/>
          <w:sz w:val="24"/>
          <w:szCs w:val="24"/>
          <w:lang w:eastAsia="pl-PL"/>
        </w:rPr>
        <w:br/>
      </w:r>
      <w:r w:rsidRPr="006E58B3">
        <w:rPr>
          <w:rFonts w:asciiTheme="minorHAnsi" w:eastAsia="Times New Roman" w:hAnsiTheme="minorHAnsi"/>
          <w:sz w:val="24"/>
          <w:szCs w:val="24"/>
          <w:lang w:eastAsia="pl-PL"/>
        </w:rPr>
        <w:t xml:space="preserve"> i zakupów usług medycznych. Prawidłowo ustalone potrzeby medyczne najlepiej służą opiece medycznej w populacji, dla której zostały ustalone. </w:t>
      </w:r>
      <w:r w:rsidRPr="006E58B3">
        <w:rPr>
          <w:rFonts w:asciiTheme="minorHAnsi" w:hAnsiTheme="minorHAnsi"/>
          <w:i/>
          <w:iCs/>
          <w:sz w:val="24"/>
          <w:szCs w:val="24"/>
        </w:rPr>
        <w:t>Zgodnie ze stanowiskiem Ministerstwa Rozwoju powinny być speł</w:t>
      </w:r>
      <w:r>
        <w:rPr>
          <w:rFonts w:asciiTheme="minorHAnsi" w:hAnsiTheme="minorHAnsi"/>
          <w:i/>
          <w:iCs/>
          <w:sz w:val="24"/>
          <w:szCs w:val="24"/>
        </w:rPr>
        <w:t>nione warunki  świadczące o tym</w:t>
      </w:r>
      <w:r w:rsidRPr="006E58B3">
        <w:rPr>
          <w:rFonts w:asciiTheme="minorHAnsi" w:hAnsiTheme="minorHAnsi"/>
          <w:i/>
          <w:iCs/>
          <w:sz w:val="24"/>
          <w:szCs w:val="24"/>
        </w:rPr>
        <w:t>,</w:t>
      </w:r>
      <w:r>
        <w:rPr>
          <w:rFonts w:asciiTheme="minorHAnsi" w:hAnsiTheme="minorHAnsi"/>
          <w:i/>
          <w:iCs/>
          <w:sz w:val="24"/>
          <w:szCs w:val="24"/>
        </w:rPr>
        <w:t xml:space="preserve"> </w:t>
      </w:r>
      <w:r w:rsidRPr="006E58B3">
        <w:rPr>
          <w:rFonts w:asciiTheme="minorHAnsi" w:hAnsiTheme="minorHAnsi"/>
          <w:i/>
          <w:iCs/>
          <w:sz w:val="24"/>
          <w:szCs w:val="24"/>
        </w:rPr>
        <w:t>że placówka nie</w:t>
      </w:r>
      <w:r>
        <w:rPr>
          <w:rFonts w:asciiTheme="minorHAnsi" w:hAnsiTheme="minorHAnsi"/>
          <w:i/>
          <w:iCs/>
          <w:sz w:val="24"/>
          <w:szCs w:val="24"/>
        </w:rPr>
        <w:t xml:space="preserve"> </w:t>
      </w:r>
      <w:r w:rsidRPr="006E58B3">
        <w:rPr>
          <w:rFonts w:asciiTheme="minorHAnsi" w:hAnsiTheme="minorHAnsi"/>
          <w:i/>
          <w:iCs/>
          <w:sz w:val="24"/>
          <w:szCs w:val="24"/>
        </w:rPr>
        <w:t xml:space="preserve">zmieni swego charakteru co najmniej przez okres trwałości projektu, gdyż niezasadne są inwestycje   w obiekty, które nie powinny funkcjonować.  Zatem w przedstawionej analizie Wnioskodawca powinien przeprowadzić również  analizę uwarunkowań w kontekście wszystkich schorzeń leczonych w placówce. </w:t>
      </w:r>
    </w:p>
    <w:p w:rsidR="006E58B3" w:rsidRPr="006E58B3" w:rsidRDefault="006E58B3" w:rsidP="006E58B3">
      <w:pPr>
        <w:spacing w:after="0" w:line="240" w:lineRule="auto"/>
        <w:ind w:left="450"/>
        <w:jc w:val="both"/>
        <w:rPr>
          <w:rFonts w:asciiTheme="minorHAnsi" w:eastAsia="Times New Roman" w:hAnsiTheme="minorHAnsi"/>
          <w:sz w:val="24"/>
          <w:szCs w:val="24"/>
          <w:lang w:eastAsia="pl-PL"/>
        </w:rPr>
      </w:pPr>
      <w:r w:rsidRPr="006E58B3">
        <w:rPr>
          <w:rFonts w:asciiTheme="minorHAnsi" w:eastAsia="Times New Roman" w:hAnsiTheme="minorHAnsi"/>
          <w:sz w:val="24"/>
          <w:szCs w:val="24"/>
          <w:lang w:eastAsia="pl-PL"/>
        </w:rPr>
        <w:t>Przy ocenie potrzeb i planowaniu zmian w zakresie służby zdrowia ważne jest więc uwzględnienie  wszystkich elementów, tj. rzeczywistych potrzeb zdrowotnych, wymagań pacjentów i aktualnie istniejących struktur służby zdrowia.</w:t>
      </w:r>
    </w:p>
    <w:p w:rsidR="006E58B3" w:rsidRPr="006E58B3" w:rsidRDefault="006E58B3" w:rsidP="006E58B3"/>
    <w:p w:rsidR="005F12CF" w:rsidRDefault="005F12CF" w:rsidP="005F12CF">
      <w:pPr>
        <w:pStyle w:val="Nagwek1"/>
        <w:numPr>
          <w:ilvl w:val="0"/>
          <w:numId w:val="4"/>
        </w:numPr>
      </w:pPr>
      <w:bookmarkStart w:id="41" w:name="_Toc467746276"/>
      <w:r>
        <w:t>Analiza oddziaływania na środowisko</w:t>
      </w:r>
      <w:bookmarkEnd w:id="41"/>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42" w:name="_Toc467746277"/>
      <w:r w:rsidRPr="00A2015A">
        <w:rPr>
          <w:i w:val="0"/>
        </w:rPr>
        <w:t>Ocena oddziaływania na środowisko</w:t>
      </w:r>
      <w:bookmarkEnd w:id="42"/>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r. poz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(Dz. U. 2010 Nr 213 poz. 1397 z póżn.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Pr="00A14BBB"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0F6A3D" w:rsidRPr="005520AB" w:rsidRDefault="000F6A3D" w:rsidP="000F6A3D">
      <w:pPr>
        <w:pStyle w:val="Nagwek2"/>
        <w:numPr>
          <w:ilvl w:val="1"/>
          <w:numId w:val="4"/>
        </w:numPr>
        <w:rPr>
          <w:i w:val="0"/>
        </w:rPr>
      </w:pPr>
      <w:bookmarkStart w:id="43" w:name="_Toc467746278"/>
      <w:bookmarkStart w:id="44" w:name="_Toc175029710"/>
      <w:bookmarkStart w:id="45" w:name="_Toc183823837"/>
      <w:bookmarkStart w:id="46" w:name="_Toc193878576"/>
      <w:r w:rsidRPr="005520AB">
        <w:rPr>
          <w:i w:val="0"/>
        </w:rPr>
        <w:t xml:space="preserve">Wpływ na </w:t>
      </w:r>
      <w:r w:rsidR="00554A9B">
        <w:rPr>
          <w:i w:val="0"/>
        </w:rPr>
        <w:t>obszary</w:t>
      </w:r>
      <w:r w:rsidRPr="005520AB">
        <w:rPr>
          <w:i w:val="0"/>
        </w:rPr>
        <w:t xml:space="preserve"> Natura 2000</w:t>
      </w:r>
      <w:bookmarkEnd w:id="43"/>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lastRenderedPageBreak/>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47" w:name="_Toc467746279"/>
      <w:r w:rsidR="00AB2127" w:rsidRPr="00AB2127">
        <w:rPr>
          <w:i w:val="0"/>
        </w:rPr>
        <w:t xml:space="preserve">Przystosowanie do zmiany klimatu, łagodzenie zmiany klimatu oraz </w:t>
      </w:r>
      <w:r w:rsidR="00554A9B">
        <w:rPr>
          <w:i w:val="0"/>
        </w:rPr>
        <w:t>odporność na klęski żywiołowe</w:t>
      </w:r>
      <w:bookmarkEnd w:id="47"/>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6"/>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lastRenderedPageBreak/>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a Hydroportalu (</w:t>
      </w:r>
      <w:hyperlink r:id="rId18"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4"/>
      <w:bookmarkEnd w:id="45"/>
      <w:bookmarkEnd w:id="46"/>
    </w:p>
    <w:p w:rsidR="0096366D" w:rsidRPr="00A2015A" w:rsidRDefault="000F6A3D" w:rsidP="006E4C4C">
      <w:pPr>
        <w:pStyle w:val="Nagwek2"/>
        <w:numPr>
          <w:ilvl w:val="1"/>
          <w:numId w:val="4"/>
        </w:numPr>
        <w:rPr>
          <w:i w:val="0"/>
        </w:rPr>
      </w:pPr>
      <w:bookmarkStart w:id="48" w:name="_Toc467746280"/>
      <w:r>
        <w:rPr>
          <w:i w:val="0"/>
        </w:rPr>
        <w:t>Wpływ</w:t>
      </w:r>
      <w:r w:rsidR="0096366D" w:rsidRPr="00A2015A">
        <w:rPr>
          <w:i w:val="0"/>
        </w:rPr>
        <w:t xml:space="preserve"> na efektywne i racjonalne wykorzystywanie zasobów naturalnych oraz stosowanie rozwiązań przyjaznych środowisku</w:t>
      </w:r>
      <w:bookmarkEnd w:id="48"/>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49" w:name="_Toc467746281"/>
      <w:r>
        <w:t>Promocja projektu</w:t>
      </w:r>
      <w:bookmarkEnd w:id="49"/>
    </w:p>
    <w:p w:rsidR="000B1483" w:rsidRDefault="000B1483" w:rsidP="000B1483">
      <w:pPr>
        <w:pStyle w:val="Bezodstpw"/>
      </w:pPr>
    </w:p>
    <w:p w:rsidR="005B2F0A" w:rsidRPr="00184527" w:rsidRDefault="00F35422" w:rsidP="00004B93">
      <w:pPr>
        <w:jc w:val="both"/>
        <w:rPr>
          <w:rFonts w:eastAsia="Times New Roman" w:cs="Arial"/>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9" w:anchor="/strona=2" w:history="1">
        <w:r w:rsidR="00184527" w:rsidRPr="006935B1">
          <w:rPr>
            <w:rStyle w:val="Hipercze"/>
            <w:rFonts w:eastAsia="Times New Roman" w:cs="Arial"/>
            <w:sz w:val="24"/>
            <w:szCs w:val="24"/>
            <w:lang w:eastAsia="pl-PL"/>
          </w:rPr>
          <w:t>http://www.mr.gov.pl/strony/zadania/fundusze-europejskie/wytyczne/wytyczne-na-lata-2014-2020/#/strona=2</w:t>
        </w:r>
      </w:hyperlink>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Podręcznikiem wnioskodawcy i beneficjenta programów polityki spójności 2014-2020 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20"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w:t>
      </w:r>
      <w:r w:rsidR="00004B93">
        <w:rPr>
          <w:sz w:val="24"/>
          <w:szCs w:val="24"/>
        </w:rPr>
        <w:t xml:space="preserve"> </w:t>
      </w:r>
      <w:hyperlink w:history="1">
        <w:r w:rsidR="00004B93" w:rsidRPr="006935B1">
          <w:rPr>
            <w:rStyle w:val="Hipercze"/>
            <w:rFonts w:cs="Arial"/>
            <w:bCs/>
            <w:sz w:val="24"/>
            <w:szCs w:val="24"/>
            <w:lang w:eastAsia="pl-PL"/>
          </w:rPr>
          <w:t>https:// www.funduszeeuropejskie.gov.pl/strony/ofunduszach /dokumenty/podrecznik-wnioskodawcy-i-beneficjenta-programow-polityki-spojnosci-2014-2020-w-zakresie-informacji-i-promocji/</w:t>
        </w:r>
      </w:hyperlink>
      <w:r w:rsidR="00004B93">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50" w:name="_Toc467746282"/>
      <w:r>
        <w:t>Wnioski i podsumowanie</w:t>
      </w:r>
      <w:bookmarkEnd w:id="50"/>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lastRenderedPageBreak/>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F35422"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rsidR="006143F5" w:rsidRDefault="006143F5"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B00CFB" w:rsidRDefault="00B00CFB" w:rsidP="00837D2A">
      <w:pPr>
        <w:pStyle w:val="Bezodstpw"/>
        <w:spacing w:line="276" w:lineRule="auto"/>
        <w:jc w:val="both"/>
        <w:rPr>
          <w:sz w:val="24"/>
          <w:szCs w:val="24"/>
        </w:rPr>
      </w:pPr>
    </w:p>
    <w:p w:rsidR="00147C54" w:rsidRDefault="00147C54" w:rsidP="00147C54">
      <w:pPr>
        <w:pStyle w:val="Nagwek1"/>
        <w:numPr>
          <w:ilvl w:val="0"/>
          <w:numId w:val="4"/>
        </w:numPr>
      </w:pPr>
      <w:bookmarkStart w:id="51" w:name="_Toc433636337"/>
      <w:bookmarkStart w:id="52" w:name="_Toc467746283"/>
      <w:r>
        <w:t>Oświadczenie</w:t>
      </w:r>
      <w:bookmarkEnd w:id="51"/>
      <w:bookmarkEnd w:id="52"/>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184527">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184527">
        <w:trPr>
          <w:trHeight w:val="543"/>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184527">
        <w:trPr>
          <w:trHeight w:val="5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184527">
        <w:trPr>
          <w:trHeight w:val="559"/>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184527">
        <w:trPr>
          <w:trHeight w:val="567"/>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184527">
        <w:trPr>
          <w:trHeight w:val="54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184527">
        <w:trPr>
          <w:trHeight w:val="561"/>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184527">
        <w:trPr>
          <w:trHeight w:val="556"/>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184527">
        <w:trPr>
          <w:trHeight w:val="564"/>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19" w:rsidRDefault="000E1019" w:rsidP="00701918">
      <w:pPr>
        <w:spacing w:after="0" w:line="240" w:lineRule="auto"/>
      </w:pPr>
      <w:r>
        <w:separator/>
      </w:r>
    </w:p>
  </w:endnote>
  <w:endnote w:type="continuationSeparator" w:id="0">
    <w:p w:rsidR="000E1019" w:rsidRDefault="000E1019"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C1" w:rsidRDefault="00A65703">
    <w:pPr>
      <w:pStyle w:val="Stopka"/>
      <w:jc w:val="right"/>
    </w:pPr>
    <w:r>
      <w:fldChar w:fldCharType="begin"/>
    </w:r>
    <w:r>
      <w:instrText xml:space="preserve"> PAGE   \* MERGEFORMAT </w:instrText>
    </w:r>
    <w:r>
      <w:fldChar w:fldCharType="separate"/>
    </w:r>
    <w:r>
      <w:rPr>
        <w:noProof/>
      </w:rPr>
      <w:t>2</w:t>
    </w:r>
    <w:r>
      <w:rPr>
        <w:noProof/>
      </w:rPr>
      <w:fldChar w:fldCharType="end"/>
    </w:r>
  </w:p>
  <w:p w:rsidR="00E30BC1" w:rsidRDefault="00E30B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19" w:rsidRDefault="000E1019" w:rsidP="00701918">
      <w:pPr>
        <w:spacing w:after="0" w:line="240" w:lineRule="auto"/>
      </w:pPr>
      <w:r>
        <w:separator/>
      </w:r>
    </w:p>
  </w:footnote>
  <w:footnote w:type="continuationSeparator" w:id="0">
    <w:p w:rsidR="000E1019" w:rsidRDefault="000E1019" w:rsidP="00701918">
      <w:pPr>
        <w:spacing w:after="0" w:line="240" w:lineRule="auto"/>
      </w:pPr>
      <w:r>
        <w:continuationSeparator/>
      </w:r>
    </w:p>
  </w:footnote>
  <w:footnote w:id="1">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E30BC1" w:rsidRDefault="00E30BC1">
      <w:pPr>
        <w:pStyle w:val="Tekstprzypisudolnego"/>
      </w:pPr>
      <w:r>
        <w:rPr>
          <w:rStyle w:val="Odwoanieprzypisudolnego"/>
        </w:rPr>
        <w:footnoteRef/>
      </w:r>
      <w:r>
        <w:t xml:space="preserve"> Patrz przypis 2</w:t>
      </w:r>
    </w:p>
  </w:footnote>
  <w:footnote w:id="8">
    <w:p w:rsidR="00E30BC1" w:rsidRDefault="00E30BC1">
      <w:pPr>
        <w:pStyle w:val="Tekstprzypisudolnego"/>
      </w:pPr>
      <w:r>
        <w:rPr>
          <w:rStyle w:val="Odwoanieprzypisudolnego"/>
        </w:rPr>
        <w:footnoteRef/>
      </w:r>
      <w:r>
        <w:t xml:space="preserve"> Patrz przypis 1</w:t>
      </w:r>
    </w:p>
  </w:footnote>
  <w:footnote w:id="9">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Exemption Regulation – ogólne rozporządzenie w sprawie wyłączeń blokowych.</w:t>
      </w:r>
    </w:p>
  </w:footnote>
  <w:footnote w:id="10">
    <w:p w:rsidR="00E30BC1" w:rsidRPr="001E5578" w:rsidRDefault="00E30BC1" w:rsidP="001E5578">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r w:rsidRPr="0077546F">
        <w:rPr>
          <w:rFonts w:cs="Calibri,Italic"/>
          <w:i/>
          <w:iCs/>
          <w:sz w:val="20"/>
          <w:szCs w:val="20"/>
        </w:rPr>
        <w:t>Ambulanz Glöckner</w:t>
      </w:r>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r w:rsidRPr="0077546F">
        <w:rPr>
          <w:rFonts w:cs="Calibri,Italic"/>
          <w:i/>
          <w:iCs/>
          <w:sz w:val="20"/>
          <w:szCs w:val="20"/>
        </w:rPr>
        <w:t>Pavlov and Others</w:t>
      </w:r>
      <w:r>
        <w:rPr>
          <w:rFonts w:cs="Calibri,Italic"/>
          <w:iCs/>
          <w:sz w:val="20"/>
          <w:szCs w:val="20"/>
        </w:rPr>
        <w:t>, [2000] ECR I-6451.</w:t>
      </w:r>
    </w:p>
  </w:footnote>
  <w:footnote w:id="11">
    <w:p w:rsidR="00E30BC1" w:rsidRPr="001E5578" w:rsidRDefault="00E30BC1" w:rsidP="00B00CFB">
      <w:pPr>
        <w:pStyle w:val="Tekstprzypisudolnego"/>
        <w:jc w:val="both"/>
      </w:pPr>
      <w:r w:rsidRPr="001E5578">
        <w:rPr>
          <w:rStyle w:val="Odwoanieprzypisudolnego"/>
        </w:rPr>
        <w:footnoteRef/>
      </w:r>
      <w:r w:rsidRPr="001E5578">
        <w:t xml:space="preserve"> m.in. </w:t>
      </w:r>
      <w:r w:rsidRPr="001E5578">
        <w:rPr>
          <w:rStyle w:val="Uwydatnienie"/>
          <w:i w:val="0"/>
        </w:rPr>
        <w:t>Rozporządzenie Komisji (UE) nr 651/2014</w:t>
      </w:r>
      <w:r w:rsidRPr="001E5578">
        <w:rPr>
          <w:rStyle w:val="Uwydatnienie"/>
        </w:rPr>
        <w:t xml:space="preserve"> </w:t>
      </w:r>
      <w:r w:rsidRPr="001E5578">
        <w:rPr>
          <w:bCs/>
          <w:iCs/>
        </w:rPr>
        <w:t xml:space="preserve">z dnia 17 czerwca 2014 r. uznające niektóre rodzaje pomocy za zgodne </w:t>
      </w:r>
      <w:r>
        <w:rPr>
          <w:bCs/>
          <w:iCs/>
        </w:rPr>
        <w:br/>
      </w:r>
      <w:r w:rsidRPr="001E5578">
        <w:rPr>
          <w:bCs/>
          <w:iCs/>
        </w:rPr>
        <w:t>z rynkiem wewnętrznym w zastosowaniu art. 107 i 108 Traktatu</w:t>
      </w:r>
    </w:p>
  </w:footnote>
  <w:footnote w:id="12">
    <w:p w:rsidR="00E30BC1" w:rsidRPr="007234E0" w:rsidRDefault="00E30BC1"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3">
    <w:p w:rsidR="00E30BC1" w:rsidRDefault="00E30BC1"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4">
    <w:p w:rsidR="00E30BC1" w:rsidRPr="00E755BA" w:rsidRDefault="00E30BC1"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5">
    <w:p w:rsidR="00E30BC1" w:rsidRPr="00E755BA" w:rsidRDefault="00E30BC1"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E30BC1" w:rsidRPr="000802E2" w:rsidRDefault="00E30BC1"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6">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7">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8">
    <w:p w:rsidR="00E30BC1" w:rsidRPr="0077546F" w:rsidRDefault="00E30BC1"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9">
    <w:p w:rsidR="00E30BC1" w:rsidRDefault="00E30BC1"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20">
    <w:p w:rsidR="00E30BC1" w:rsidRPr="00D523F8" w:rsidRDefault="00E30BC1"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1">
    <w:p w:rsidR="00E30BC1" w:rsidRDefault="00E30BC1" w:rsidP="00224B0F">
      <w:pPr>
        <w:pStyle w:val="Bezodstpw"/>
      </w:pPr>
      <w:r w:rsidRPr="00D523F8">
        <w:rPr>
          <w:rStyle w:val="Odwoanieprzypisudolnego"/>
          <w:sz w:val="20"/>
          <w:szCs w:val="20"/>
        </w:rPr>
        <w:footnoteRef/>
      </w:r>
      <w:r w:rsidRPr="00D523F8">
        <w:rPr>
          <w:sz w:val="20"/>
          <w:szCs w:val="20"/>
        </w:rPr>
        <w:t xml:space="preserve"> Patrz przypis 1</w:t>
      </w:r>
    </w:p>
  </w:footnote>
  <w:footnote w:id="22">
    <w:p w:rsidR="00E30BC1" w:rsidRDefault="00E30BC1">
      <w:pPr>
        <w:pStyle w:val="Tekstprzypisudolnego"/>
      </w:pPr>
      <w:r>
        <w:rPr>
          <w:rStyle w:val="Odwoanieprzypisudolnego"/>
        </w:rPr>
        <w:footnoteRef/>
      </w:r>
      <w:r>
        <w:t xml:space="preserve"> Patrz przypis 1</w:t>
      </w:r>
    </w:p>
  </w:footnote>
  <w:footnote w:id="23">
    <w:p w:rsidR="00E30BC1" w:rsidRDefault="00E30BC1">
      <w:pPr>
        <w:pStyle w:val="Tekstprzypisudolnego"/>
      </w:pPr>
      <w:r>
        <w:rPr>
          <w:rStyle w:val="Odwoanieprzypisudolnego"/>
        </w:rPr>
        <w:footnoteRef/>
      </w:r>
      <w:r>
        <w:t xml:space="preserve"> Patrz przypis 13</w:t>
      </w:r>
    </w:p>
  </w:footnote>
  <w:footnote w:id="24">
    <w:p w:rsidR="00E30BC1" w:rsidRDefault="00E30BC1"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5">
    <w:p w:rsidR="00E30BC1" w:rsidRPr="00C53CDA" w:rsidRDefault="00E30BC1" w:rsidP="00325FE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MIiR, grudzień 2013, dostępny na stronie www.ppp.gov.pl.  </w:t>
      </w:r>
    </w:p>
  </w:footnote>
  <w:footnote w:id="26">
    <w:p w:rsidR="00E30BC1" w:rsidRDefault="00E30BC1"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7">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0"/>
  </w:num>
  <w:num w:numId="3">
    <w:abstractNumId w:val="2"/>
  </w:num>
  <w:num w:numId="4">
    <w:abstractNumId w:val="26"/>
  </w:num>
  <w:num w:numId="5">
    <w:abstractNumId w:val="29"/>
  </w:num>
  <w:num w:numId="6">
    <w:abstractNumId w:val="1"/>
  </w:num>
  <w:num w:numId="7">
    <w:abstractNumId w:val="24"/>
  </w:num>
  <w:num w:numId="8">
    <w:abstractNumId w:val="11"/>
  </w:num>
  <w:num w:numId="9">
    <w:abstractNumId w:val="3"/>
  </w:num>
  <w:num w:numId="10">
    <w:abstractNumId w:val="5"/>
  </w:num>
  <w:num w:numId="11">
    <w:abstractNumId w:val="20"/>
  </w:num>
  <w:num w:numId="12">
    <w:abstractNumId w:val="21"/>
  </w:num>
  <w:num w:numId="13">
    <w:abstractNumId w:val="23"/>
  </w:num>
  <w:num w:numId="14">
    <w:abstractNumId w:val="16"/>
  </w:num>
  <w:num w:numId="15">
    <w:abstractNumId w:val="14"/>
  </w:num>
  <w:num w:numId="16">
    <w:abstractNumId w:val="22"/>
  </w:num>
  <w:num w:numId="17">
    <w:abstractNumId w:val="8"/>
  </w:num>
  <w:num w:numId="18">
    <w:abstractNumId w:val="9"/>
  </w:num>
  <w:num w:numId="19">
    <w:abstractNumId w:val="10"/>
  </w:num>
  <w:num w:numId="20">
    <w:abstractNumId w:val="15"/>
  </w:num>
  <w:num w:numId="21">
    <w:abstractNumId w:val="27"/>
  </w:num>
  <w:num w:numId="22">
    <w:abstractNumId w:val="18"/>
  </w:num>
  <w:num w:numId="23">
    <w:abstractNumId w:val="19"/>
  </w:num>
  <w:num w:numId="24">
    <w:abstractNumId w:val="25"/>
  </w:num>
  <w:num w:numId="25">
    <w:abstractNumId w:val="12"/>
  </w:num>
  <w:num w:numId="26">
    <w:abstractNumId w:val="0"/>
  </w:num>
  <w:num w:numId="27">
    <w:abstractNumId w:val="17"/>
  </w:num>
  <w:num w:numId="28">
    <w:abstractNumId w:val="13"/>
  </w:num>
  <w:num w:numId="29">
    <w:abstractNumId w:val="4"/>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F"/>
    <w:rsid w:val="000010D7"/>
    <w:rsid w:val="00004B93"/>
    <w:rsid w:val="000072A9"/>
    <w:rsid w:val="000168EE"/>
    <w:rsid w:val="0002044C"/>
    <w:rsid w:val="000251C6"/>
    <w:rsid w:val="0002522E"/>
    <w:rsid w:val="00030291"/>
    <w:rsid w:val="00040F69"/>
    <w:rsid w:val="00041F80"/>
    <w:rsid w:val="00043312"/>
    <w:rsid w:val="00045DB7"/>
    <w:rsid w:val="00050FF2"/>
    <w:rsid w:val="00052A1E"/>
    <w:rsid w:val="0005321B"/>
    <w:rsid w:val="00055119"/>
    <w:rsid w:val="000567D1"/>
    <w:rsid w:val="00061612"/>
    <w:rsid w:val="0006218A"/>
    <w:rsid w:val="00067FCE"/>
    <w:rsid w:val="0007481C"/>
    <w:rsid w:val="000802E2"/>
    <w:rsid w:val="0008254A"/>
    <w:rsid w:val="00084053"/>
    <w:rsid w:val="00084475"/>
    <w:rsid w:val="000855C6"/>
    <w:rsid w:val="00086A4C"/>
    <w:rsid w:val="00092C3E"/>
    <w:rsid w:val="00096BE1"/>
    <w:rsid w:val="000971C6"/>
    <w:rsid w:val="000A19CD"/>
    <w:rsid w:val="000A1CF7"/>
    <w:rsid w:val="000B1483"/>
    <w:rsid w:val="000B6FA8"/>
    <w:rsid w:val="000B7359"/>
    <w:rsid w:val="000C105F"/>
    <w:rsid w:val="000C2B2F"/>
    <w:rsid w:val="000C47D4"/>
    <w:rsid w:val="000C63E9"/>
    <w:rsid w:val="000D1E18"/>
    <w:rsid w:val="000D221D"/>
    <w:rsid w:val="000D333A"/>
    <w:rsid w:val="000D5F65"/>
    <w:rsid w:val="000E0BAD"/>
    <w:rsid w:val="000E1019"/>
    <w:rsid w:val="000E303D"/>
    <w:rsid w:val="000F0375"/>
    <w:rsid w:val="000F2089"/>
    <w:rsid w:val="000F2341"/>
    <w:rsid w:val="000F6A3D"/>
    <w:rsid w:val="00100A23"/>
    <w:rsid w:val="00101445"/>
    <w:rsid w:val="0011345D"/>
    <w:rsid w:val="0011368F"/>
    <w:rsid w:val="001136CB"/>
    <w:rsid w:val="0011370D"/>
    <w:rsid w:val="00113E17"/>
    <w:rsid w:val="00126A33"/>
    <w:rsid w:val="001434BE"/>
    <w:rsid w:val="00143870"/>
    <w:rsid w:val="0014521B"/>
    <w:rsid w:val="00147BB0"/>
    <w:rsid w:val="00147C54"/>
    <w:rsid w:val="001530B7"/>
    <w:rsid w:val="00157A2A"/>
    <w:rsid w:val="00161F89"/>
    <w:rsid w:val="00164610"/>
    <w:rsid w:val="00167613"/>
    <w:rsid w:val="001717CD"/>
    <w:rsid w:val="00174786"/>
    <w:rsid w:val="001769C3"/>
    <w:rsid w:val="00184527"/>
    <w:rsid w:val="0019223A"/>
    <w:rsid w:val="001A3535"/>
    <w:rsid w:val="001A40FC"/>
    <w:rsid w:val="001A653F"/>
    <w:rsid w:val="001A6862"/>
    <w:rsid w:val="001B05B4"/>
    <w:rsid w:val="001B6127"/>
    <w:rsid w:val="001B7FBC"/>
    <w:rsid w:val="001C09AE"/>
    <w:rsid w:val="001D15C4"/>
    <w:rsid w:val="001E5578"/>
    <w:rsid w:val="001F13D9"/>
    <w:rsid w:val="001F69F1"/>
    <w:rsid w:val="001F78CF"/>
    <w:rsid w:val="001F7EE5"/>
    <w:rsid w:val="002050AE"/>
    <w:rsid w:val="00206135"/>
    <w:rsid w:val="00211BFC"/>
    <w:rsid w:val="00224B0F"/>
    <w:rsid w:val="00225387"/>
    <w:rsid w:val="00226957"/>
    <w:rsid w:val="00232DCB"/>
    <w:rsid w:val="00234A67"/>
    <w:rsid w:val="0024270F"/>
    <w:rsid w:val="002469D6"/>
    <w:rsid w:val="00246C10"/>
    <w:rsid w:val="00246F1C"/>
    <w:rsid w:val="002503DC"/>
    <w:rsid w:val="002517D7"/>
    <w:rsid w:val="00252A66"/>
    <w:rsid w:val="00253611"/>
    <w:rsid w:val="0026215B"/>
    <w:rsid w:val="00263168"/>
    <w:rsid w:val="0026478B"/>
    <w:rsid w:val="00264D87"/>
    <w:rsid w:val="0027223D"/>
    <w:rsid w:val="002751BE"/>
    <w:rsid w:val="00281277"/>
    <w:rsid w:val="0028357C"/>
    <w:rsid w:val="00283FF6"/>
    <w:rsid w:val="002853EE"/>
    <w:rsid w:val="0029545B"/>
    <w:rsid w:val="00296641"/>
    <w:rsid w:val="00296DC1"/>
    <w:rsid w:val="00297619"/>
    <w:rsid w:val="002A00BE"/>
    <w:rsid w:val="002B1795"/>
    <w:rsid w:val="002B4947"/>
    <w:rsid w:val="002B4F35"/>
    <w:rsid w:val="002B73A1"/>
    <w:rsid w:val="002C1B70"/>
    <w:rsid w:val="002C64A0"/>
    <w:rsid w:val="002D100C"/>
    <w:rsid w:val="002D3BC2"/>
    <w:rsid w:val="002D66F8"/>
    <w:rsid w:val="002E1051"/>
    <w:rsid w:val="002F36EB"/>
    <w:rsid w:val="002F5394"/>
    <w:rsid w:val="002F6BF2"/>
    <w:rsid w:val="00301FE9"/>
    <w:rsid w:val="00302A87"/>
    <w:rsid w:val="00303639"/>
    <w:rsid w:val="00303CD4"/>
    <w:rsid w:val="00305447"/>
    <w:rsid w:val="00307089"/>
    <w:rsid w:val="003072DD"/>
    <w:rsid w:val="00307B38"/>
    <w:rsid w:val="003146D8"/>
    <w:rsid w:val="0031757F"/>
    <w:rsid w:val="00320354"/>
    <w:rsid w:val="003251C7"/>
    <w:rsid w:val="00325711"/>
    <w:rsid w:val="00325FEA"/>
    <w:rsid w:val="003321E1"/>
    <w:rsid w:val="00332AB1"/>
    <w:rsid w:val="00333700"/>
    <w:rsid w:val="0033476B"/>
    <w:rsid w:val="00335AD4"/>
    <w:rsid w:val="0035042A"/>
    <w:rsid w:val="00361643"/>
    <w:rsid w:val="0036193A"/>
    <w:rsid w:val="0036554E"/>
    <w:rsid w:val="00376E85"/>
    <w:rsid w:val="003820AC"/>
    <w:rsid w:val="0038225A"/>
    <w:rsid w:val="00387B8B"/>
    <w:rsid w:val="00395C2D"/>
    <w:rsid w:val="00397E62"/>
    <w:rsid w:val="003A4AC8"/>
    <w:rsid w:val="003A68DF"/>
    <w:rsid w:val="003B0E8A"/>
    <w:rsid w:val="003B3E82"/>
    <w:rsid w:val="003B45C5"/>
    <w:rsid w:val="003B5B22"/>
    <w:rsid w:val="003B73D8"/>
    <w:rsid w:val="003C2A99"/>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26A5B"/>
    <w:rsid w:val="00427CEE"/>
    <w:rsid w:val="00430277"/>
    <w:rsid w:val="004334A8"/>
    <w:rsid w:val="00435F43"/>
    <w:rsid w:val="004435D2"/>
    <w:rsid w:val="00452354"/>
    <w:rsid w:val="00453BD3"/>
    <w:rsid w:val="004620AF"/>
    <w:rsid w:val="00466AD9"/>
    <w:rsid w:val="004672CC"/>
    <w:rsid w:val="00473240"/>
    <w:rsid w:val="00473F9E"/>
    <w:rsid w:val="00474BAC"/>
    <w:rsid w:val="00477A36"/>
    <w:rsid w:val="004870D5"/>
    <w:rsid w:val="0049175E"/>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66BE"/>
    <w:rsid w:val="00516AF8"/>
    <w:rsid w:val="00521CB2"/>
    <w:rsid w:val="00524C48"/>
    <w:rsid w:val="005334D4"/>
    <w:rsid w:val="00534ECF"/>
    <w:rsid w:val="005421A5"/>
    <w:rsid w:val="00542C16"/>
    <w:rsid w:val="00543693"/>
    <w:rsid w:val="00550D78"/>
    <w:rsid w:val="00551DE9"/>
    <w:rsid w:val="005520AB"/>
    <w:rsid w:val="00554A9B"/>
    <w:rsid w:val="00554EF1"/>
    <w:rsid w:val="0056093D"/>
    <w:rsid w:val="00560B60"/>
    <w:rsid w:val="00566A32"/>
    <w:rsid w:val="00572CF5"/>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50EA3"/>
    <w:rsid w:val="006562B0"/>
    <w:rsid w:val="00663666"/>
    <w:rsid w:val="00665A82"/>
    <w:rsid w:val="0067228A"/>
    <w:rsid w:val="006747E7"/>
    <w:rsid w:val="00676B45"/>
    <w:rsid w:val="0067722A"/>
    <w:rsid w:val="006804C0"/>
    <w:rsid w:val="00680FA3"/>
    <w:rsid w:val="0068290E"/>
    <w:rsid w:val="00685B9C"/>
    <w:rsid w:val="00691021"/>
    <w:rsid w:val="00692AAF"/>
    <w:rsid w:val="0069520A"/>
    <w:rsid w:val="006A2C79"/>
    <w:rsid w:val="006A340F"/>
    <w:rsid w:val="006A3667"/>
    <w:rsid w:val="006A6990"/>
    <w:rsid w:val="006B09ED"/>
    <w:rsid w:val="006B1620"/>
    <w:rsid w:val="006C46B9"/>
    <w:rsid w:val="006C76DD"/>
    <w:rsid w:val="006D31AF"/>
    <w:rsid w:val="006D62C4"/>
    <w:rsid w:val="006E4C4C"/>
    <w:rsid w:val="006E4DE7"/>
    <w:rsid w:val="006E58B3"/>
    <w:rsid w:val="006E7510"/>
    <w:rsid w:val="006F1D0F"/>
    <w:rsid w:val="007016DF"/>
    <w:rsid w:val="0070183D"/>
    <w:rsid w:val="00701918"/>
    <w:rsid w:val="007127E2"/>
    <w:rsid w:val="0071423C"/>
    <w:rsid w:val="0071557C"/>
    <w:rsid w:val="007234E0"/>
    <w:rsid w:val="007268FA"/>
    <w:rsid w:val="00733BC1"/>
    <w:rsid w:val="0073642F"/>
    <w:rsid w:val="00754EDE"/>
    <w:rsid w:val="007635BE"/>
    <w:rsid w:val="00767543"/>
    <w:rsid w:val="007678D4"/>
    <w:rsid w:val="00774251"/>
    <w:rsid w:val="0077546F"/>
    <w:rsid w:val="007754E4"/>
    <w:rsid w:val="00777D2E"/>
    <w:rsid w:val="00791C20"/>
    <w:rsid w:val="007A528A"/>
    <w:rsid w:val="007B1169"/>
    <w:rsid w:val="007B21DD"/>
    <w:rsid w:val="007B66CC"/>
    <w:rsid w:val="007B6F99"/>
    <w:rsid w:val="007C4A0E"/>
    <w:rsid w:val="007C5D58"/>
    <w:rsid w:val="007C7432"/>
    <w:rsid w:val="007D43E8"/>
    <w:rsid w:val="007D50AA"/>
    <w:rsid w:val="007E72A6"/>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8E1"/>
    <w:rsid w:val="008D02E8"/>
    <w:rsid w:val="008D1748"/>
    <w:rsid w:val="008D3243"/>
    <w:rsid w:val="008E5EA2"/>
    <w:rsid w:val="008F10CC"/>
    <w:rsid w:val="008F4418"/>
    <w:rsid w:val="008F4C11"/>
    <w:rsid w:val="008F740D"/>
    <w:rsid w:val="00903BB6"/>
    <w:rsid w:val="00905F67"/>
    <w:rsid w:val="00910F09"/>
    <w:rsid w:val="00911E45"/>
    <w:rsid w:val="009125F9"/>
    <w:rsid w:val="00917451"/>
    <w:rsid w:val="0092569D"/>
    <w:rsid w:val="00926142"/>
    <w:rsid w:val="00926ED6"/>
    <w:rsid w:val="00927C90"/>
    <w:rsid w:val="00930BEC"/>
    <w:rsid w:val="00933D17"/>
    <w:rsid w:val="009356A8"/>
    <w:rsid w:val="00936812"/>
    <w:rsid w:val="0093792E"/>
    <w:rsid w:val="00941BE7"/>
    <w:rsid w:val="009421A9"/>
    <w:rsid w:val="0094244F"/>
    <w:rsid w:val="0094491B"/>
    <w:rsid w:val="00951E3C"/>
    <w:rsid w:val="0096366D"/>
    <w:rsid w:val="00966398"/>
    <w:rsid w:val="0096695A"/>
    <w:rsid w:val="0096756C"/>
    <w:rsid w:val="00967798"/>
    <w:rsid w:val="0097460E"/>
    <w:rsid w:val="00983053"/>
    <w:rsid w:val="0098341B"/>
    <w:rsid w:val="00987713"/>
    <w:rsid w:val="00997DAC"/>
    <w:rsid w:val="009B3AC8"/>
    <w:rsid w:val="009B3F56"/>
    <w:rsid w:val="009B7B74"/>
    <w:rsid w:val="009C03B2"/>
    <w:rsid w:val="009C0814"/>
    <w:rsid w:val="009C2B8D"/>
    <w:rsid w:val="009C593A"/>
    <w:rsid w:val="009D6B96"/>
    <w:rsid w:val="009E6A1B"/>
    <w:rsid w:val="009E7C36"/>
    <w:rsid w:val="009F3632"/>
    <w:rsid w:val="00A02516"/>
    <w:rsid w:val="00A02D9F"/>
    <w:rsid w:val="00A10751"/>
    <w:rsid w:val="00A13BE0"/>
    <w:rsid w:val="00A14BBB"/>
    <w:rsid w:val="00A16B03"/>
    <w:rsid w:val="00A16CF7"/>
    <w:rsid w:val="00A1781C"/>
    <w:rsid w:val="00A26561"/>
    <w:rsid w:val="00A27F12"/>
    <w:rsid w:val="00A302D2"/>
    <w:rsid w:val="00A3420C"/>
    <w:rsid w:val="00A36582"/>
    <w:rsid w:val="00A4309A"/>
    <w:rsid w:val="00A43CA2"/>
    <w:rsid w:val="00A627F8"/>
    <w:rsid w:val="00A655D6"/>
    <w:rsid w:val="00A65703"/>
    <w:rsid w:val="00A7162A"/>
    <w:rsid w:val="00A71D18"/>
    <w:rsid w:val="00A75E47"/>
    <w:rsid w:val="00A775EB"/>
    <w:rsid w:val="00A7789E"/>
    <w:rsid w:val="00A80450"/>
    <w:rsid w:val="00A82500"/>
    <w:rsid w:val="00A85294"/>
    <w:rsid w:val="00AB2127"/>
    <w:rsid w:val="00AB32CA"/>
    <w:rsid w:val="00AC03CC"/>
    <w:rsid w:val="00AD113F"/>
    <w:rsid w:val="00AE0B87"/>
    <w:rsid w:val="00AE4135"/>
    <w:rsid w:val="00AE5A0F"/>
    <w:rsid w:val="00AF1079"/>
    <w:rsid w:val="00AF58B9"/>
    <w:rsid w:val="00AF790E"/>
    <w:rsid w:val="00B00CFB"/>
    <w:rsid w:val="00B01886"/>
    <w:rsid w:val="00B06379"/>
    <w:rsid w:val="00B06A4B"/>
    <w:rsid w:val="00B10E31"/>
    <w:rsid w:val="00B11B07"/>
    <w:rsid w:val="00B154AF"/>
    <w:rsid w:val="00B15D24"/>
    <w:rsid w:val="00B164C4"/>
    <w:rsid w:val="00B2260A"/>
    <w:rsid w:val="00B23530"/>
    <w:rsid w:val="00B23E7E"/>
    <w:rsid w:val="00B24B32"/>
    <w:rsid w:val="00B3301F"/>
    <w:rsid w:val="00B4104E"/>
    <w:rsid w:val="00B41FBA"/>
    <w:rsid w:val="00B430DC"/>
    <w:rsid w:val="00B43CB2"/>
    <w:rsid w:val="00B520ED"/>
    <w:rsid w:val="00B54E3C"/>
    <w:rsid w:val="00B63580"/>
    <w:rsid w:val="00B65756"/>
    <w:rsid w:val="00B66EF8"/>
    <w:rsid w:val="00B75526"/>
    <w:rsid w:val="00B75C32"/>
    <w:rsid w:val="00B87900"/>
    <w:rsid w:val="00B90374"/>
    <w:rsid w:val="00B94195"/>
    <w:rsid w:val="00B941EF"/>
    <w:rsid w:val="00B94F29"/>
    <w:rsid w:val="00B97187"/>
    <w:rsid w:val="00BA1725"/>
    <w:rsid w:val="00BA717A"/>
    <w:rsid w:val="00BB2120"/>
    <w:rsid w:val="00BB542B"/>
    <w:rsid w:val="00BB5D39"/>
    <w:rsid w:val="00BB5E04"/>
    <w:rsid w:val="00BB5FE0"/>
    <w:rsid w:val="00BC30B5"/>
    <w:rsid w:val="00BD1D12"/>
    <w:rsid w:val="00BD3E5E"/>
    <w:rsid w:val="00BD505D"/>
    <w:rsid w:val="00BD6C1D"/>
    <w:rsid w:val="00BE57B0"/>
    <w:rsid w:val="00BE5B41"/>
    <w:rsid w:val="00BF7D81"/>
    <w:rsid w:val="00C07010"/>
    <w:rsid w:val="00C11BA3"/>
    <w:rsid w:val="00C22E68"/>
    <w:rsid w:val="00C24219"/>
    <w:rsid w:val="00C26C8E"/>
    <w:rsid w:val="00C30E32"/>
    <w:rsid w:val="00C32B9C"/>
    <w:rsid w:val="00C3322E"/>
    <w:rsid w:val="00C36466"/>
    <w:rsid w:val="00C434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C100A"/>
    <w:rsid w:val="00CD0B49"/>
    <w:rsid w:val="00CE4254"/>
    <w:rsid w:val="00CE685B"/>
    <w:rsid w:val="00CF45C2"/>
    <w:rsid w:val="00D1289F"/>
    <w:rsid w:val="00D21C28"/>
    <w:rsid w:val="00D222FF"/>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5A39"/>
    <w:rsid w:val="00D75B2C"/>
    <w:rsid w:val="00D763C5"/>
    <w:rsid w:val="00D81DC1"/>
    <w:rsid w:val="00D82561"/>
    <w:rsid w:val="00D948EF"/>
    <w:rsid w:val="00DA072D"/>
    <w:rsid w:val="00DB06E8"/>
    <w:rsid w:val="00DB1ABB"/>
    <w:rsid w:val="00DC031B"/>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5F3D"/>
    <w:rsid w:val="00E27781"/>
    <w:rsid w:val="00E30BC1"/>
    <w:rsid w:val="00E337C5"/>
    <w:rsid w:val="00E4654B"/>
    <w:rsid w:val="00E51C38"/>
    <w:rsid w:val="00E56D6D"/>
    <w:rsid w:val="00E6036A"/>
    <w:rsid w:val="00E60398"/>
    <w:rsid w:val="00E664DC"/>
    <w:rsid w:val="00E755BA"/>
    <w:rsid w:val="00E75D0D"/>
    <w:rsid w:val="00E7710B"/>
    <w:rsid w:val="00E8388C"/>
    <w:rsid w:val="00E930D1"/>
    <w:rsid w:val="00E95091"/>
    <w:rsid w:val="00E96C74"/>
    <w:rsid w:val="00E97161"/>
    <w:rsid w:val="00EA1979"/>
    <w:rsid w:val="00EA6B9C"/>
    <w:rsid w:val="00EB4D7A"/>
    <w:rsid w:val="00EB705B"/>
    <w:rsid w:val="00EB7BDB"/>
    <w:rsid w:val="00EC27C6"/>
    <w:rsid w:val="00EC40DC"/>
    <w:rsid w:val="00ED048A"/>
    <w:rsid w:val="00ED487E"/>
    <w:rsid w:val="00ED6572"/>
    <w:rsid w:val="00ED7579"/>
    <w:rsid w:val="00EF330A"/>
    <w:rsid w:val="00EF3342"/>
    <w:rsid w:val="00EF565D"/>
    <w:rsid w:val="00EF56F4"/>
    <w:rsid w:val="00EF69AC"/>
    <w:rsid w:val="00F003FE"/>
    <w:rsid w:val="00F0777D"/>
    <w:rsid w:val="00F1707A"/>
    <w:rsid w:val="00F170D9"/>
    <w:rsid w:val="00F21C69"/>
    <w:rsid w:val="00F2727E"/>
    <w:rsid w:val="00F2795C"/>
    <w:rsid w:val="00F34B0C"/>
    <w:rsid w:val="00F35422"/>
    <w:rsid w:val="00F4209C"/>
    <w:rsid w:val="00F44897"/>
    <w:rsid w:val="00F448EC"/>
    <w:rsid w:val="00F45AC0"/>
    <w:rsid w:val="00F62937"/>
    <w:rsid w:val="00F6508B"/>
    <w:rsid w:val="00F65122"/>
    <w:rsid w:val="00F74437"/>
    <w:rsid w:val="00F8319D"/>
    <w:rsid w:val="00F859C4"/>
    <w:rsid w:val="00F86CB9"/>
    <w:rsid w:val="00F86F3B"/>
    <w:rsid w:val="00F94757"/>
    <w:rsid w:val="00F96231"/>
    <w:rsid w:val="00F9645B"/>
    <w:rsid w:val="00F96C73"/>
    <w:rsid w:val="00F97C95"/>
    <w:rsid w:val="00FA01D2"/>
    <w:rsid w:val="00FA2BD2"/>
    <w:rsid w:val="00FB20AD"/>
    <w:rsid w:val="00FB2F99"/>
    <w:rsid w:val="00FB4029"/>
    <w:rsid w:val="00FB5796"/>
    <w:rsid w:val="00FB6532"/>
    <w:rsid w:val="00FC5E33"/>
    <w:rsid w:val="00FC6618"/>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mr.gov.pl/strony/zadania/fundusze-europejskie/wytyczne/wytyczne-na-lata-2014-20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6692E-F6FA-43F1-B7D3-9E874399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21687</Words>
  <Characters>130122</Characters>
  <Application>Microsoft Office Word</Application>
  <DocSecurity>4</DocSecurity>
  <Lines>1084</Lines>
  <Paragraphs>303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151506</CharactersWithSpaces>
  <SharedDoc>false</SharedDoc>
  <HLinks>
    <vt:vector size="282" baseType="variant">
      <vt:variant>
        <vt:i4>4128815</vt:i4>
      </vt:variant>
      <vt:variant>
        <vt:i4>273</vt:i4>
      </vt:variant>
      <vt:variant>
        <vt:i4>0</vt:i4>
      </vt:variant>
      <vt:variant>
        <vt:i4>5</vt:i4>
      </vt:variant>
      <vt:variant>
        <vt:lpwstr>http://www.2014-2020.rpo-swietokrzyskie.pl/</vt:lpwstr>
      </vt:variant>
      <vt:variant>
        <vt:lpwstr/>
      </vt:variant>
      <vt:variant>
        <vt:i4>4587590</vt:i4>
      </vt:variant>
      <vt:variant>
        <vt:i4>270</vt:i4>
      </vt:variant>
      <vt:variant>
        <vt:i4>0</vt:i4>
      </vt:variant>
      <vt:variant>
        <vt:i4>5</vt:i4>
      </vt:variant>
      <vt:variant>
        <vt:lpwstr>http://www.mr.gov.pl/strony/zadania/fundusze-europejskie/wytyczne/wytyczne-na-lata-2014-2020/</vt:lpwstr>
      </vt:variant>
      <vt:variant>
        <vt:lpwstr>/strona=2</vt:lpwstr>
      </vt:variant>
      <vt:variant>
        <vt:i4>5439516</vt:i4>
      </vt:variant>
      <vt:variant>
        <vt:i4>267</vt:i4>
      </vt:variant>
      <vt:variant>
        <vt:i4>0</vt:i4>
      </vt:variant>
      <vt:variant>
        <vt:i4>5</vt:i4>
      </vt:variant>
      <vt:variant>
        <vt:lpwstr>http://mapy.isok.gov.pl/imap/</vt:lpwstr>
      </vt:variant>
      <vt:variant>
        <vt:lpwstr/>
      </vt:variant>
      <vt:variant>
        <vt:i4>5439516</vt:i4>
      </vt:variant>
      <vt:variant>
        <vt:i4>264</vt:i4>
      </vt:variant>
      <vt:variant>
        <vt:i4>0</vt:i4>
      </vt:variant>
      <vt:variant>
        <vt:i4>5</vt:i4>
      </vt:variant>
      <vt:variant>
        <vt:lpwstr>http://mapy.isok.gov.pl/imap/</vt:lpwstr>
      </vt:variant>
      <vt:variant>
        <vt:lpwstr/>
      </vt:variant>
      <vt:variant>
        <vt:i4>1310774</vt:i4>
      </vt:variant>
      <vt:variant>
        <vt:i4>257</vt:i4>
      </vt:variant>
      <vt:variant>
        <vt:i4>0</vt:i4>
      </vt:variant>
      <vt:variant>
        <vt:i4>5</vt:i4>
      </vt:variant>
      <vt:variant>
        <vt:lpwstr/>
      </vt:variant>
      <vt:variant>
        <vt:lpwstr>_Toc467502528</vt:lpwstr>
      </vt:variant>
      <vt:variant>
        <vt:i4>1310774</vt:i4>
      </vt:variant>
      <vt:variant>
        <vt:i4>251</vt:i4>
      </vt:variant>
      <vt:variant>
        <vt:i4>0</vt:i4>
      </vt:variant>
      <vt:variant>
        <vt:i4>5</vt:i4>
      </vt:variant>
      <vt:variant>
        <vt:lpwstr/>
      </vt:variant>
      <vt:variant>
        <vt:lpwstr>_Toc467502527</vt:lpwstr>
      </vt:variant>
      <vt:variant>
        <vt:i4>1310774</vt:i4>
      </vt:variant>
      <vt:variant>
        <vt:i4>245</vt:i4>
      </vt:variant>
      <vt:variant>
        <vt:i4>0</vt:i4>
      </vt:variant>
      <vt:variant>
        <vt:i4>5</vt:i4>
      </vt:variant>
      <vt:variant>
        <vt:lpwstr/>
      </vt:variant>
      <vt:variant>
        <vt:lpwstr>_Toc467502526</vt:lpwstr>
      </vt:variant>
      <vt:variant>
        <vt:i4>1310774</vt:i4>
      </vt:variant>
      <vt:variant>
        <vt:i4>239</vt:i4>
      </vt:variant>
      <vt:variant>
        <vt:i4>0</vt:i4>
      </vt:variant>
      <vt:variant>
        <vt:i4>5</vt:i4>
      </vt:variant>
      <vt:variant>
        <vt:lpwstr/>
      </vt:variant>
      <vt:variant>
        <vt:lpwstr>_Toc467502525</vt:lpwstr>
      </vt:variant>
      <vt:variant>
        <vt:i4>1310774</vt:i4>
      </vt:variant>
      <vt:variant>
        <vt:i4>233</vt:i4>
      </vt:variant>
      <vt:variant>
        <vt:i4>0</vt:i4>
      </vt:variant>
      <vt:variant>
        <vt:i4>5</vt:i4>
      </vt:variant>
      <vt:variant>
        <vt:lpwstr/>
      </vt:variant>
      <vt:variant>
        <vt:lpwstr>_Toc467502524</vt:lpwstr>
      </vt:variant>
      <vt:variant>
        <vt:i4>1310774</vt:i4>
      </vt:variant>
      <vt:variant>
        <vt:i4>227</vt:i4>
      </vt:variant>
      <vt:variant>
        <vt:i4>0</vt:i4>
      </vt:variant>
      <vt:variant>
        <vt:i4>5</vt:i4>
      </vt:variant>
      <vt:variant>
        <vt:lpwstr/>
      </vt:variant>
      <vt:variant>
        <vt:lpwstr>_Toc467502523</vt:lpwstr>
      </vt:variant>
      <vt:variant>
        <vt:i4>1310774</vt:i4>
      </vt:variant>
      <vt:variant>
        <vt:i4>221</vt:i4>
      </vt:variant>
      <vt:variant>
        <vt:i4>0</vt:i4>
      </vt:variant>
      <vt:variant>
        <vt:i4>5</vt:i4>
      </vt:variant>
      <vt:variant>
        <vt:lpwstr/>
      </vt:variant>
      <vt:variant>
        <vt:lpwstr>_Toc467502522</vt:lpwstr>
      </vt:variant>
      <vt:variant>
        <vt:i4>1310774</vt:i4>
      </vt:variant>
      <vt:variant>
        <vt:i4>215</vt:i4>
      </vt:variant>
      <vt:variant>
        <vt:i4>0</vt:i4>
      </vt:variant>
      <vt:variant>
        <vt:i4>5</vt:i4>
      </vt:variant>
      <vt:variant>
        <vt:lpwstr/>
      </vt:variant>
      <vt:variant>
        <vt:lpwstr>_Toc467502521</vt:lpwstr>
      </vt:variant>
      <vt:variant>
        <vt:i4>1507382</vt:i4>
      </vt:variant>
      <vt:variant>
        <vt:i4>209</vt:i4>
      </vt:variant>
      <vt:variant>
        <vt:i4>0</vt:i4>
      </vt:variant>
      <vt:variant>
        <vt:i4>5</vt:i4>
      </vt:variant>
      <vt:variant>
        <vt:lpwstr/>
      </vt:variant>
      <vt:variant>
        <vt:lpwstr>_Toc467502519</vt:lpwstr>
      </vt:variant>
      <vt:variant>
        <vt:i4>1507382</vt:i4>
      </vt:variant>
      <vt:variant>
        <vt:i4>203</vt:i4>
      </vt:variant>
      <vt:variant>
        <vt:i4>0</vt:i4>
      </vt:variant>
      <vt:variant>
        <vt:i4>5</vt:i4>
      </vt:variant>
      <vt:variant>
        <vt:lpwstr/>
      </vt:variant>
      <vt:variant>
        <vt:lpwstr>_Toc467502518</vt:lpwstr>
      </vt:variant>
      <vt:variant>
        <vt:i4>1507382</vt:i4>
      </vt:variant>
      <vt:variant>
        <vt:i4>197</vt:i4>
      </vt:variant>
      <vt:variant>
        <vt:i4>0</vt:i4>
      </vt:variant>
      <vt:variant>
        <vt:i4>5</vt:i4>
      </vt:variant>
      <vt:variant>
        <vt:lpwstr/>
      </vt:variant>
      <vt:variant>
        <vt:lpwstr>_Toc467502517</vt:lpwstr>
      </vt:variant>
      <vt:variant>
        <vt:i4>1507382</vt:i4>
      </vt:variant>
      <vt:variant>
        <vt:i4>191</vt:i4>
      </vt:variant>
      <vt:variant>
        <vt:i4>0</vt:i4>
      </vt:variant>
      <vt:variant>
        <vt:i4>5</vt:i4>
      </vt:variant>
      <vt:variant>
        <vt:lpwstr/>
      </vt:variant>
      <vt:variant>
        <vt:lpwstr>_Toc467502516</vt:lpwstr>
      </vt:variant>
      <vt:variant>
        <vt:i4>1507382</vt:i4>
      </vt:variant>
      <vt:variant>
        <vt:i4>185</vt:i4>
      </vt:variant>
      <vt:variant>
        <vt:i4>0</vt:i4>
      </vt:variant>
      <vt:variant>
        <vt:i4>5</vt:i4>
      </vt:variant>
      <vt:variant>
        <vt:lpwstr/>
      </vt:variant>
      <vt:variant>
        <vt:lpwstr>_Toc467502515</vt:lpwstr>
      </vt:variant>
      <vt:variant>
        <vt:i4>1507382</vt:i4>
      </vt:variant>
      <vt:variant>
        <vt:i4>179</vt:i4>
      </vt:variant>
      <vt:variant>
        <vt:i4>0</vt:i4>
      </vt:variant>
      <vt:variant>
        <vt:i4>5</vt:i4>
      </vt:variant>
      <vt:variant>
        <vt:lpwstr/>
      </vt:variant>
      <vt:variant>
        <vt:lpwstr>_Toc467502514</vt:lpwstr>
      </vt:variant>
      <vt:variant>
        <vt:i4>1507382</vt:i4>
      </vt:variant>
      <vt:variant>
        <vt:i4>173</vt:i4>
      </vt:variant>
      <vt:variant>
        <vt:i4>0</vt:i4>
      </vt:variant>
      <vt:variant>
        <vt:i4>5</vt:i4>
      </vt:variant>
      <vt:variant>
        <vt:lpwstr/>
      </vt:variant>
      <vt:variant>
        <vt:lpwstr>_Toc467502513</vt:lpwstr>
      </vt:variant>
      <vt:variant>
        <vt:i4>1507382</vt:i4>
      </vt:variant>
      <vt:variant>
        <vt:i4>167</vt:i4>
      </vt:variant>
      <vt:variant>
        <vt:i4>0</vt:i4>
      </vt:variant>
      <vt:variant>
        <vt:i4>5</vt:i4>
      </vt:variant>
      <vt:variant>
        <vt:lpwstr/>
      </vt:variant>
      <vt:variant>
        <vt:lpwstr>_Toc467502512</vt:lpwstr>
      </vt:variant>
      <vt:variant>
        <vt:i4>1507382</vt:i4>
      </vt:variant>
      <vt:variant>
        <vt:i4>161</vt:i4>
      </vt:variant>
      <vt:variant>
        <vt:i4>0</vt:i4>
      </vt:variant>
      <vt:variant>
        <vt:i4>5</vt:i4>
      </vt:variant>
      <vt:variant>
        <vt:lpwstr/>
      </vt:variant>
      <vt:variant>
        <vt:lpwstr>_Toc467502511</vt:lpwstr>
      </vt:variant>
      <vt:variant>
        <vt:i4>1507382</vt:i4>
      </vt:variant>
      <vt:variant>
        <vt:i4>155</vt:i4>
      </vt:variant>
      <vt:variant>
        <vt:i4>0</vt:i4>
      </vt:variant>
      <vt:variant>
        <vt:i4>5</vt:i4>
      </vt:variant>
      <vt:variant>
        <vt:lpwstr/>
      </vt:variant>
      <vt:variant>
        <vt:lpwstr>_Toc467502510</vt:lpwstr>
      </vt:variant>
      <vt:variant>
        <vt:i4>1441846</vt:i4>
      </vt:variant>
      <vt:variant>
        <vt:i4>149</vt:i4>
      </vt:variant>
      <vt:variant>
        <vt:i4>0</vt:i4>
      </vt:variant>
      <vt:variant>
        <vt:i4>5</vt:i4>
      </vt:variant>
      <vt:variant>
        <vt:lpwstr/>
      </vt:variant>
      <vt:variant>
        <vt:lpwstr>_Toc467502509</vt:lpwstr>
      </vt:variant>
      <vt:variant>
        <vt:i4>1441846</vt:i4>
      </vt:variant>
      <vt:variant>
        <vt:i4>143</vt:i4>
      </vt:variant>
      <vt:variant>
        <vt:i4>0</vt:i4>
      </vt:variant>
      <vt:variant>
        <vt:i4>5</vt:i4>
      </vt:variant>
      <vt:variant>
        <vt:lpwstr/>
      </vt:variant>
      <vt:variant>
        <vt:lpwstr>_Toc467502508</vt:lpwstr>
      </vt:variant>
      <vt:variant>
        <vt:i4>1441846</vt:i4>
      </vt:variant>
      <vt:variant>
        <vt:i4>137</vt:i4>
      </vt:variant>
      <vt:variant>
        <vt:i4>0</vt:i4>
      </vt:variant>
      <vt:variant>
        <vt:i4>5</vt:i4>
      </vt:variant>
      <vt:variant>
        <vt:lpwstr/>
      </vt:variant>
      <vt:variant>
        <vt:lpwstr>_Toc467502507</vt:lpwstr>
      </vt:variant>
      <vt:variant>
        <vt:i4>1441846</vt:i4>
      </vt:variant>
      <vt:variant>
        <vt:i4>131</vt:i4>
      </vt:variant>
      <vt:variant>
        <vt:i4>0</vt:i4>
      </vt:variant>
      <vt:variant>
        <vt:i4>5</vt:i4>
      </vt:variant>
      <vt:variant>
        <vt:lpwstr/>
      </vt:variant>
      <vt:variant>
        <vt:lpwstr>_Toc467502506</vt:lpwstr>
      </vt:variant>
      <vt:variant>
        <vt:i4>1441846</vt:i4>
      </vt:variant>
      <vt:variant>
        <vt:i4>125</vt:i4>
      </vt:variant>
      <vt:variant>
        <vt:i4>0</vt:i4>
      </vt:variant>
      <vt:variant>
        <vt:i4>5</vt:i4>
      </vt:variant>
      <vt:variant>
        <vt:lpwstr/>
      </vt:variant>
      <vt:variant>
        <vt:lpwstr>_Toc467502505</vt:lpwstr>
      </vt:variant>
      <vt:variant>
        <vt:i4>1441846</vt:i4>
      </vt:variant>
      <vt:variant>
        <vt:i4>119</vt:i4>
      </vt:variant>
      <vt:variant>
        <vt:i4>0</vt:i4>
      </vt:variant>
      <vt:variant>
        <vt:i4>5</vt:i4>
      </vt:variant>
      <vt:variant>
        <vt:lpwstr/>
      </vt:variant>
      <vt:variant>
        <vt:lpwstr>_Toc467502504</vt:lpwstr>
      </vt:variant>
      <vt:variant>
        <vt:i4>1441846</vt:i4>
      </vt:variant>
      <vt:variant>
        <vt:i4>113</vt:i4>
      </vt:variant>
      <vt:variant>
        <vt:i4>0</vt:i4>
      </vt:variant>
      <vt:variant>
        <vt:i4>5</vt:i4>
      </vt:variant>
      <vt:variant>
        <vt:lpwstr/>
      </vt:variant>
      <vt:variant>
        <vt:lpwstr>_Toc467502503</vt:lpwstr>
      </vt:variant>
      <vt:variant>
        <vt:i4>1441846</vt:i4>
      </vt:variant>
      <vt:variant>
        <vt:i4>107</vt:i4>
      </vt:variant>
      <vt:variant>
        <vt:i4>0</vt:i4>
      </vt:variant>
      <vt:variant>
        <vt:i4>5</vt:i4>
      </vt:variant>
      <vt:variant>
        <vt:lpwstr/>
      </vt:variant>
      <vt:variant>
        <vt:lpwstr>_Toc467502502</vt:lpwstr>
      </vt:variant>
      <vt:variant>
        <vt:i4>1441846</vt:i4>
      </vt:variant>
      <vt:variant>
        <vt:i4>101</vt:i4>
      </vt:variant>
      <vt:variant>
        <vt:i4>0</vt:i4>
      </vt:variant>
      <vt:variant>
        <vt:i4>5</vt:i4>
      </vt:variant>
      <vt:variant>
        <vt:lpwstr/>
      </vt:variant>
      <vt:variant>
        <vt:lpwstr>_Toc467502501</vt:lpwstr>
      </vt:variant>
      <vt:variant>
        <vt:i4>1441846</vt:i4>
      </vt:variant>
      <vt:variant>
        <vt:i4>95</vt:i4>
      </vt:variant>
      <vt:variant>
        <vt:i4>0</vt:i4>
      </vt:variant>
      <vt:variant>
        <vt:i4>5</vt:i4>
      </vt:variant>
      <vt:variant>
        <vt:lpwstr/>
      </vt:variant>
      <vt:variant>
        <vt:lpwstr>_Toc467502500</vt:lpwstr>
      </vt:variant>
      <vt:variant>
        <vt:i4>2031671</vt:i4>
      </vt:variant>
      <vt:variant>
        <vt:i4>89</vt:i4>
      </vt:variant>
      <vt:variant>
        <vt:i4>0</vt:i4>
      </vt:variant>
      <vt:variant>
        <vt:i4>5</vt:i4>
      </vt:variant>
      <vt:variant>
        <vt:lpwstr/>
      </vt:variant>
      <vt:variant>
        <vt:lpwstr>_Toc467502499</vt:lpwstr>
      </vt:variant>
      <vt:variant>
        <vt:i4>2031671</vt:i4>
      </vt:variant>
      <vt:variant>
        <vt:i4>83</vt:i4>
      </vt:variant>
      <vt:variant>
        <vt:i4>0</vt:i4>
      </vt:variant>
      <vt:variant>
        <vt:i4>5</vt:i4>
      </vt:variant>
      <vt:variant>
        <vt:lpwstr/>
      </vt:variant>
      <vt:variant>
        <vt:lpwstr>_Toc467502498</vt:lpwstr>
      </vt:variant>
      <vt:variant>
        <vt:i4>2031671</vt:i4>
      </vt:variant>
      <vt:variant>
        <vt:i4>77</vt:i4>
      </vt:variant>
      <vt:variant>
        <vt:i4>0</vt:i4>
      </vt:variant>
      <vt:variant>
        <vt:i4>5</vt:i4>
      </vt:variant>
      <vt:variant>
        <vt:lpwstr/>
      </vt:variant>
      <vt:variant>
        <vt:lpwstr>_Toc467502497</vt:lpwstr>
      </vt:variant>
      <vt:variant>
        <vt:i4>2031671</vt:i4>
      </vt:variant>
      <vt:variant>
        <vt:i4>71</vt:i4>
      </vt:variant>
      <vt:variant>
        <vt:i4>0</vt:i4>
      </vt:variant>
      <vt:variant>
        <vt:i4>5</vt:i4>
      </vt:variant>
      <vt:variant>
        <vt:lpwstr/>
      </vt:variant>
      <vt:variant>
        <vt:lpwstr>_Toc467502496</vt:lpwstr>
      </vt:variant>
      <vt:variant>
        <vt:i4>2031671</vt:i4>
      </vt:variant>
      <vt:variant>
        <vt:i4>65</vt:i4>
      </vt:variant>
      <vt:variant>
        <vt:i4>0</vt:i4>
      </vt:variant>
      <vt:variant>
        <vt:i4>5</vt:i4>
      </vt:variant>
      <vt:variant>
        <vt:lpwstr/>
      </vt:variant>
      <vt:variant>
        <vt:lpwstr>_Toc467502495</vt:lpwstr>
      </vt:variant>
      <vt:variant>
        <vt:i4>2031671</vt:i4>
      </vt:variant>
      <vt:variant>
        <vt:i4>59</vt:i4>
      </vt:variant>
      <vt:variant>
        <vt:i4>0</vt:i4>
      </vt:variant>
      <vt:variant>
        <vt:i4>5</vt:i4>
      </vt:variant>
      <vt:variant>
        <vt:lpwstr/>
      </vt:variant>
      <vt:variant>
        <vt:lpwstr>_Toc467502494</vt:lpwstr>
      </vt:variant>
      <vt:variant>
        <vt:i4>2031671</vt:i4>
      </vt:variant>
      <vt:variant>
        <vt:i4>53</vt:i4>
      </vt:variant>
      <vt:variant>
        <vt:i4>0</vt:i4>
      </vt:variant>
      <vt:variant>
        <vt:i4>5</vt:i4>
      </vt:variant>
      <vt:variant>
        <vt:lpwstr/>
      </vt:variant>
      <vt:variant>
        <vt:lpwstr>_Toc467502493</vt:lpwstr>
      </vt:variant>
      <vt:variant>
        <vt:i4>2031671</vt:i4>
      </vt:variant>
      <vt:variant>
        <vt:i4>47</vt:i4>
      </vt:variant>
      <vt:variant>
        <vt:i4>0</vt:i4>
      </vt:variant>
      <vt:variant>
        <vt:i4>5</vt:i4>
      </vt:variant>
      <vt:variant>
        <vt:lpwstr/>
      </vt:variant>
      <vt:variant>
        <vt:lpwstr>_Toc467502492</vt:lpwstr>
      </vt:variant>
      <vt:variant>
        <vt:i4>2031671</vt:i4>
      </vt:variant>
      <vt:variant>
        <vt:i4>41</vt:i4>
      </vt:variant>
      <vt:variant>
        <vt:i4>0</vt:i4>
      </vt:variant>
      <vt:variant>
        <vt:i4>5</vt:i4>
      </vt:variant>
      <vt:variant>
        <vt:lpwstr/>
      </vt:variant>
      <vt:variant>
        <vt:lpwstr>_Toc467502491</vt:lpwstr>
      </vt:variant>
      <vt:variant>
        <vt:i4>2031671</vt:i4>
      </vt:variant>
      <vt:variant>
        <vt:i4>35</vt:i4>
      </vt:variant>
      <vt:variant>
        <vt:i4>0</vt:i4>
      </vt:variant>
      <vt:variant>
        <vt:i4>5</vt:i4>
      </vt:variant>
      <vt:variant>
        <vt:lpwstr/>
      </vt:variant>
      <vt:variant>
        <vt:lpwstr>_Toc467502490</vt:lpwstr>
      </vt:variant>
      <vt:variant>
        <vt:i4>1966135</vt:i4>
      </vt:variant>
      <vt:variant>
        <vt:i4>29</vt:i4>
      </vt:variant>
      <vt:variant>
        <vt:i4>0</vt:i4>
      </vt:variant>
      <vt:variant>
        <vt:i4>5</vt:i4>
      </vt:variant>
      <vt:variant>
        <vt:lpwstr/>
      </vt:variant>
      <vt:variant>
        <vt:lpwstr>_Toc467502489</vt:lpwstr>
      </vt:variant>
      <vt:variant>
        <vt:i4>1966135</vt:i4>
      </vt:variant>
      <vt:variant>
        <vt:i4>23</vt:i4>
      </vt:variant>
      <vt:variant>
        <vt:i4>0</vt:i4>
      </vt:variant>
      <vt:variant>
        <vt:i4>5</vt:i4>
      </vt:variant>
      <vt:variant>
        <vt:lpwstr/>
      </vt:variant>
      <vt:variant>
        <vt:lpwstr>_Toc467502488</vt:lpwstr>
      </vt:variant>
      <vt:variant>
        <vt:i4>1966135</vt:i4>
      </vt:variant>
      <vt:variant>
        <vt:i4>17</vt:i4>
      </vt:variant>
      <vt:variant>
        <vt:i4>0</vt:i4>
      </vt:variant>
      <vt:variant>
        <vt:i4>5</vt:i4>
      </vt:variant>
      <vt:variant>
        <vt:lpwstr/>
      </vt:variant>
      <vt:variant>
        <vt:lpwstr>_Toc467502487</vt:lpwstr>
      </vt:variant>
      <vt:variant>
        <vt:i4>1966135</vt:i4>
      </vt:variant>
      <vt:variant>
        <vt:i4>11</vt:i4>
      </vt:variant>
      <vt:variant>
        <vt:i4>0</vt:i4>
      </vt:variant>
      <vt:variant>
        <vt:i4>5</vt:i4>
      </vt:variant>
      <vt:variant>
        <vt:lpwstr/>
      </vt:variant>
      <vt:variant>
        <vt:lpwstr>_Toc467502486</vt:lpwstr>
      </vt:variant>
      <vt:variant>
        <vt:i4>1966135</vt:i4>
      </vt:variant>
      <vt:variant>
        <vt:i4>5</vt:i4>
      </vt:variant>
      <vt:variant>
        <vt:i4>0</vt:i4>
      </vt:variant>
      <vt:variant>
        <vt:i4>5</vt:i4>
      </vt:variant>
      <vt:variant>
        <vt:lpwstr/>
      </vt:variant>
      <vt:variant>
        <vt:lpwstr>_Toc467502485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Ćwiek, Aneta</cp:lastModifiedBy>
  <cp:revision>2</cp:revision>
  <cp:lastPrinted>2016-11-09T11:52:00Z</cp:lastPrinted>
  <dcterms:created xsi:type="dcterms:W3CDTF">2016-11-24T09:31:00Z</dcterms:created>
  <dcterms:modified xsi:type="dcterms:W3CDTF">2016-11-24T09:31:00Z</dcterms:modified>
</cp:coreProperties>
</file>