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E1" w:rsidRPr="002435E1" w:rsidRDefault="002435E1" w:rsidP="002435E1">
      <w:pPr>
        <w:pStyle w:val="Default"/>
        <w:jc w:val="center"/>
        <w:rPr>
          <w:b/>
          <w:sz w:val="23"/>
          <w:szCs w:val="23"/>
        </w:rPr>
      </w:pPr>
      <w:r w:rsidRPr="002435E1">
        <w:rPr>
          <w:b/>
          <w:bCs/>
          <w:sz w:val="23"/>
          <w:szCs w:val="23"/>
        </w:rPr>
        <w:t xml:space="preserve">Dodatkowe wyjaśnienia dotyczące metodologii obliczania  maksymalnej wielkości dofinansowania </w:t>
      </w:r>
      <w:r w:rsidRPr="002435E1">
        <w:rPr>
          <w:b/>
          <w:sz w:val="23"/>
          <w:szCs w:val="23"/>
        </w:rPr>
        <w:t xml:space="preserve">w przypadku </w:t>
      </w:r>
      <w:r w:rsidRPr="002435E1">
        <w:rPr>
          <w:b/>
          <w:bCs/>
          <w:sz w:val="23"/>
          <w:szCs w:val="23"/>
        </w:rPr>
        <w:t>pomocy inwestycyjnej na infrastrukturę lokalną</w:t>
      </w:r>
      <w:r w:rsidRPr="002435E1">
        <w:rPr>
          <w:b/>
          <w:sz w:val="23"/>
          <w:szCs w:val="23"/>
        </w:rPr>
        <w:t>, zgodnie z art. 56 ust. 5 GBER</w:t>
      </w:r>
    </w:p>
    <w:p w:rsidR="002435E1" w:rsidRDefault="002435E1" w:rsidP="002435E1">
      <w:pPr>
        <w:pStyle w:val="Default"/>
      </w:pPr>
    </w:p>
    <w:p w:rsidR="002435E1" w:rsidRDefault="002435E1" w:rsidP="002435E1">
      <w:pPr>
        <w:pStyle w:val="Default"/>
        <w:rPr>
          <w:sz w:val="23"/>
          <w:szCs w:val="23"/>
        </w:rPr>
      </w:pPr>
    </w:p>
    <w:p w:rsidR="002435E1" w:rsidRDefault="002435E1" w:rsidP="002435E1">
      <w:pPr>
        <w:pStyle w:val="Default"/>
        <w:rPr>
          <w:sz w:val="23"/>
          <w:szCs w:val="23"/>
        </w:rPr>
      </w:pPr>
    </w:p>
    <w:p w:rsidR="002435E1" w:rsidRDefault="002435E1" w:rsidP="002435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Należy </w:t>
      </w:r>
      <w:r w:rsidR="00337DA4">
        <w:rPr>
          <w:sz w:val="23"/>
          <w:szCs w:val="23"/>
        </w:rPr>
        <w:t>sporządzić</w:t>
      </w:r>
      <w:r>
        <w:rPr>
          <w:sz w:val="23"/>
          <w:szCs w:val="23"/>
        </w:rPr>
        <w:t xml:space="preserve"> analiz</w:t>
      </w:r>
      <w:r w:rsidR="00337DA4">
        <w:rPr>
          <w:sz w:val="23"/>
          <w:szCs w:val="23"/>
        </w:rPr>
        <w:t>ę</w:t>
      </w:r>
      <w:r>
        <w:rPr>
          <w:sz w:val="23"/>
          <w:szCs w:val="23"/>
        </w:rPr>
        <w:t xml:space="preserve"> finansow</w:t>
      </w:r>
      <w:r w:rsidR="00337DA4">
        <w:rPr>
          <w:sz w:val="23"/>
          <w:szCs w:val="23"/>
        </w:rPr>
        <w:t>ą</w:t>
      </w:r>
      <w:r>
        <w:rPr>
          <w:sz w:val="23"/>
          <w:szCs w:val="23"/>
        </w:rPr>
        <w:t xml:space="preserve">, dokonując </w:t>
      </w:r>
      <w:r w:rsidR="00E32887">
        <w:rPr>
          <w:sz w:val="23"/>
          <w:szCs w:val="23"/>
        </w:rPr>
        <w:t xml:space="preserve">prognozy </w:t>
      </w:r>
      <w:r>
        <w:rPr>
          <w:sz w:val="23"/>
          <w:szCs w:val="23"/>
        </w:rPr>
        <w:t xml:space="preserve">kosztów i przychodów w projekcie, w oparciu o następujące założenia ogólne: </w:t>
      </w:r>
    </w:p>
    <w:p w:rsidR="002435E1" w:rsidRDefault="002435E1" w:rsidP="002435E1">
      <w:pPr>
        <w:pStyle w:val="Default"/>
        <w:rPr>
          <w:sz w:val="23"/>
          <w:szCs w:val="23"/>
        </w:rPr>
      </w:pPr>
    </w:p>
    <w:p w:rsidR="002435E1" w:rsidRDefault="002435E1" w:rsidP="00D00B8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Analiza finansowa powinna być sporządzona w sposób skonsolidowany, dla Beneficjenta i Operatora infrastruktury, jeśli są to odrębne podmioty (wzajemne przepływy należy wyeliminować). </w:t>
      </w:r>
    </w:p>
    <w:p w:rsidR="002435E1" w:rsidRDefault="002435E1" w:rsidP="00D00B8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Analiza powinna być sporządzona w cenach realnych, bez uwzględnienia inflacji. </w:t>
      </w:r>
    </w:p>
    <w:p w:rsidR="002435E1" w:rsidRDefault="002435E1" w:rsidP="00D00B8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Analiza powinna być sporządzona w cenach netto (bez podatku VAT) </w:t>
      </w:r>
    </w:p>
    <w:p w:rsidR="000778E9" w:rsidRPr="000778E9" w:rsidRDefault="000778E9" w:rsidP="000778E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0778E9">
        <w:rPr>
          <w:sz w:val="23"/>
          <w:szCs w:val="23"/>
        </w:rPr>
        <w:t xml:space="preserve">Do obliczenia wartości zdyskontowanych należy zastosować stopę oprocentowania </w:t>
      </w:r>
      <w:r>
        <w:rPr>
          <w:sz w:val="23"/>
          <w:szCs w:val="23"/>
        </w:rPr>
        <w:t xml:space="preserve">– 4%. </w:t>
      </w:r>
    </w:p>
    <w:p w:rsidR="002435E1" w:rsidRDefault="002435E1" w:rsidP="00D00B8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Analiza powinna być przeprowadzona w okresie odniesienia równemu cyklowi życia inwestycji definiowanym jako okres ekonomicznej użyteczności danych aktywów (okres amortyzacji zasadniczych aktywów (dominujących w projekcie) będących przedmiotem inwestycji). W przypadku aktywów o różnym okresie amortyzacji, należy brać pod uwagę najdłuższy z tych okresów. Beneficjent jest zobowiązany do sprecyzowania, jakiego rodzaju aktywa będą przedmiotem projektu i uzasadnienia długości cyklu życia inwestycji przyjętej na potrzeby kalkulacji zysku operacyjnego. </w:t>
      </w:r>
    </w:p>
    <w:p w:rsidR="00337DA4" w:rsidRDefault="00337DA4" w:rsidP="002435E1">
      <w:pPr>
        <w:pStyle w:val="Default"/>
        <w:rPr>
          <w:sz w:val="23"/>
          <w:szCs w:val="23"/>
        </w:rPr>
      </w:pPr>
    </w:p>
    <w:p w:rsidR="006E75EF" w:rsidRDefault="006E75EF" w:rsidP="006E75EF">
      <w:pPr>
        <w:pStyle w:val="Default"/>
        <w:rPr>
          <w:sz w:val="22"/>
          <w:szCs w:val="22"/>
        </w:rPr>
      </w:pPr>
    </w:p>
    <w:p w:rsidR="006E75EF" w:rsidRPr="006E75EF" w:rsidRDefault="006E75EF" w:rsidP="006E75EF">
      <w:pPr>
        <w:pStyle w:val="Default"/>
        <w:jc w:val="both"/>
        <w:rPr>
          <w:i/>
          <w:sz w:val="23"/>
          <w:szCs w:val="23"/>
        </w:rPr>
      </w:pPr>
      <w:r w:rsidRPr="006E75EF">
        <w:rPr>
          <w:sz w:val="23"/>
          <w:szCs w:val="23"/>
        </w:rPr>
        <w:t>Zgodnie z art. 5</w:t>
      </w:r>
      <w:r>
        <w:rPr>
          <w:sz w:val="23"/>
          <w:szCs w:val="23"/>
        </w:rPr>
        <w:t>6</w:t>
      </w:r>
      <w:r w:rsidRPr="006E75EF">
        <w:rPr>
          <w:sz w:val="23"/>
          <w:szCs w:val="23"/>
        </w:rPr>
        <w:t xml:space="preserve"> ust. 6 rozporządzenia 651 (GBER) </w:t>
      </w:r>
      <w:r w:rsidRPr="006E75EF">
        <w:rPr>
          <w:i/>
          <w:sz w:val="23"/>
          <w:szCs w:val="23"/>
        </w:rPr>
        <w:t xml:space="preserve">Kwota pomocy nie przekracza różnicy między kosztami kwalifikowanymi a zyskiem operacyjnym z inwestycji. Zysk operacyjny odlicza się od kosztów kwalifikowanych ex </w:t>
      </w:r>
      <w:proofErr w:type="spellStart"/>
      <w:r w:rsidRPr="006E75EF">
        <w:rPr>
          <w:i/>
          <w:sz w:val="23"/>
          <w:szCs w:val="23"/>
        </w:rPr>
        <w:t>ante</w:t>
      </w:r>
      <w:proofErr w:type="spellEnd"/>
      <w:r w:rsidRPr="006E75EF">
        <w:rPr>
          <w:i/>
          <w:sz w:val="23"/>
          <w:szCs w:val="23"/>
        </w:rPr>
        <w:t xml:space="preserve">, na podstawie rozsądnych prognoz, albo przy użyciu mechanizmu wycofania. </w:t>
      </w:r>
    </w:p>
    <w:p w:rsidR="006E75EF" w:rsidRDefault="006E75EF" w:rsidP="006E75EF">
      <w:pPr>
        <w:pStyle w:val="Default"/>
        <w:rPr>
          <w:sz w:val="22"/>
          <w:szCs w:val="22"/>
        </w:rPr>
      </w:pPr>
    </w:p>
    <w:p w:rsidR="006E75EF" w:rsidRDefault="006E75EF" w:rsidP="006E75EF">
      <w:pPr>
        <w:pStyle w:val="Default"/>
        <w:rPr>
          <w:sz w:val="22"/>
          <w:szCs w:val="22"/>
        </w:rPr>
      </w:pPr>
    </w:p>
    <w:p w:rsidR="006E75EF" w:rsidRDefault="006E75EF" w:rsidP="006E75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celu wyliczenia zysku operacyjnego oraz ustalenia wysokości wsparcia w ramach pomocy </w:t>
      </w:r>
      <w:r w:rsidR="00467E53" w:rsidRPr="00467E53">
        <w:rPr>
          <w:sz w:val="22"/>
          <w:szCs w:val="22"/>
        </w:rPr>
        <w:t>inwestycyjnej na infrastrukturę lokalną</w:t>
      </w:r>
      <w:r w:rsidR="00467E53">
        <w:rPr>
          <w:sz w:val="22"/>
          <w:szCs w:val="22"/>
        </w:rPr>
        <w:t xml:space="preserve"> </w:t>
      </w:r>
      <w:r>
        <w:rPr>
          <w:sz w:val="22"/>
          <w:szCs w:val="22"/>
        </w:rPr>
        <w:t>należy:</w:t>
      </w:r>
    </w:p>
    <w:p w:rsidR="006E75EF" w:rsidRDefault="006E75EF" w:rsidP="006E75EF">
      <w:pPr>
        <w:pStyle w:val="Default"/>
        <w:rPr>
          <w:sz w:val="22"/>
          <w:szCs w:val="22"/>
        </w:rPr>
      </w:pPr>
    </w:p>
    <w:p w:rsidR="006E75EF" w:rsidRDefault="00352846" w:rsidP="006E75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Wziąć pod uwagę przychody i koszty operacyjne projektu w okresie ekonomicznego życia projektu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i wyliczyć zysk:</w:t>
      </w:r>
    </w:p>
    <w:p w:rsidR="006E75EF" w:rsidRDefault="006E75EF" w:rsidP="006E75EF">
      <w:pPr>
        <w:pStyle w:val="Default"/>
        <w:rPr>
          <w:sz w:val="22"/>
          <w:szCs w:val="22"/>
        </w:rPr>
      </w:pPr>
    </w:p>
    <w:p w:rsidR="006E75EF" w:rsidRPr="00352846" w:rsidRDefault="006E75EF" w:rsidP="006E75EF">
      <w:pPr>
        <w:pStyle w:val="Default"/>
        <w:rPr>
          <w:b/>
          <w:sz w:val="22"/>
          <w:szCs w:val="22"/>
        </w:rPr>
      </w:pPr>
      <w:r w:rsidRPr="00352846">
        <w:rPr>
          <w:b/>
          <w:sz w:val="22"/>
          <w:szCs w:val="22"/>
        </w:rPr>
        <w:t xml:space="preserve">Zysk operacyjny (ZO) = Σ zdyskontowanych przychodów operacyjnych - </w:t>
      </w:r>
    </w:p>
    <w:p w:rsidR="006E75EF" w:rsidRPr="00352846" w:rsidRDefault="006E75EF" w:rsidP="006E75EF">
      <w:pPr>
        <w:pStyle w:val="Default"/>
        <w:rPr>
          <w:b/>
          <w:sz w:val="22"/>
          <w:szCs w:val="22"/>
        </w:rPr>
      </w:pPr>
      <w:r w:rsidRPr="00352846">
        <w:rPr>
          <w:b/>
          <w:sz w:val="22"/>
          <w:szCs w:val="22"/>
        </w:rPr>
        <w:t xml:space="preserve">Σ zdyskontowanych kosztów operacyjnych </w:t>
      </w:r>
    </w:p>
    <w:p w:rsidR="00352846" w:rsidRDefault="00352846" w:rsidP="006E75EF">
      <w:pPr>
        <w:pStyle w:val="Default"/>
        <w:rPr>
          <w:sz w:val="22"/>
          <w:szCs w:val="22"/>
        </w:rPr>
      </w:pPr>
    </w:p>
    <w:p w:rsidR="006E75EF" w:rsidRDefault="006E75EF" w:rsidP="006E75EF">
      <w:pPr>
        <w:pStyle w:val="Default"/>
        <w:rPr>
          <w:sz w:val="22"/>
          <w:szCs w:val="22"/>
        </w:rPr>
      </w:pPr>
      <w:r w:rsidRPr="006E75EF">
        <w:rPr>
          <w:sz w:val="22"/>
          <w:szCs w:val="22"/>
        </w:rPr>
        <w:t xml:space="preserve">2. W </w:t>
      </w:r>
      <w:r w:rsidR="00D83376">
        <w:rPr>
          <w:sz w:val="22"/>
          <w:szCs w:val="22"/>
        </w:rPr>
        <w:t xml:space="preserve">celu ustalenia maksymalnej wartości dofinansowania </w:t>
      </w:r>
      <w:r w:rsidRPr="006E75EF">
        <w:rPr>
          <w:b/>
          <w:bCs/>
          <w:sz w:val="22"/>
          <w:szCs w:val="22"/>
        </w:rPr>
        <w:t xml:space="preserve">zysk operacyjny  </w:t>
      </w:r>
      <w:r w:rsidRPr="006E75EF">
        <w:rPr>
          <w:sz w:val="22"/>
          <w:szCs w:val="22"/>
        </w:rPr>
        <w:t xml:space="preserve">należy odjąć od </w:t>
      </w:r>
      <w:r w:rsidRPr="00D83376">
        <w:rPr>
          <w:b/>
          <w:sz w:val="22"/>
          <w:szCs w:val="22"/>
        </w:rPr>
        <w:t xml:space="preserve">kosztów </w:t>
      </w:r>
      <w:proofErr w:type="spellStart"/>
      <w:r w:rsidRPr="00D83376">
        <w:rPr>
          <w:b/>
          <w:sz w:val="22"/>
          <w:szCs w:val="22"/>
        </w:rPr>
        <w:t>kwalifikowalnych</w:t>
      </w:r>
      <w:proofErr w:type="spellEnd"/>
      <w:r w:rsidRPr="006E75EF">
        <w:rPr>
          <w:sz w:val="22"/>
          <w:szCs w:val="22"/>
        </w:rPr>
        <w:t xml:space="preserve"> projektu (EC). </w:t>
      </w:r>
    </w:p>
    <w:p w:rsidR="00352846" w:rsidRPr="006E75EF" w:rsidRDefault="00352846" w:rsidP="006E75EF">
      <w:pPr>
        <w:pStyle w:val="Default"/>
        <w:rPr>
          <w:sz w:val="22"/>
          <w:szCs w:val="22"/>
        </w:rPr>
      </w:pPr>
    </w:p>
    <w:p w:rsidR="006E75EF" w:rsidRPr="006E75EF" w:rsidRDefault="006E75EF" w:rsidP="006E75EF">
      <w:pPr>
        <w:pStyle w:val="Default"/>
        <w:rPr>
          <w:sz w:val="22"/>
          <w:szCs w:val="22"/>
        </w:rPr>
      </w:pPr>
      <w:r w:rsidRPr="006E75EF">
        <w:rPr>
          <w:b/>
          <w:bCs/>
          <w:sz w:val="22"/>
          <w:szCs w:val="22"/>
        </w:rPr>
        <w:t xml:space="preserve">Kwota pomocy ≤ EC – ZO </w:t>
      </w:r>
    </w:p>
    <w:p w:rsidR="006E75EF" w:rsidRPr="006E75EF" w:rsidRDefault="006E75EF" w:rsidP="006E75EF">
      <w:pPr>
        <w:pStyle w:val="Default"/>
        <w:rPr>
          <w:sz w:val="22"/>
          <w:szCs w:val="22"/>
        </w:rPr>
      </w:pPr>
      <w:r w:rsidRPr="006E75EF">
        <w:rPr>
          <w:sz w:val="22"/>
          <w:szCs w:val="22"/>
        </w:rPr>
        <w:t xml:space="preserve">gdzie: </w:t>
      </w:r>
    </w:p>
    <w:p w:rsidR="006E75EF" w:rsidRPr="006E75EF" w:rsidRDefault="006E75EF" w:rsidP="006E75EF">
      <w:pPr>
        <w:pStyle w:val="Default"/>
        <w:rPr>
          <w:sz w:val="22"/>
          <w:szCs w:val="22"/>
        </w:rPr>
      </w:pPr>
      <w:r w:rsidRPr="006E75EF">
        <w:rPr>
          <w:rFonts w:ascii="Wingdings" w:hAnsi="Wingdings" w:cs="Wingdings"/>
          <w:sz w:val="22"/>
          <w:szCs w:val="22"/>
        </w:rPr>
        <w:t></w:t>
      </w:r>
      <w:r w:rsidRPr="006E75EF">
        <w:rPr>
          <w:rFonts w:ascii="Wingdings" w:hAnsi="Wingdings" w:cs="Wingdings"/>
          <w:sz w:val="22"/>
          <w:szCs w:val="22"/>
        </w:rPr>
        <w:t></w:t>
      </w:r>
      <w:r w:rsidRPr="006E75EF">
        <w:rPr>
          <w:sz w:val="22"/>
          <w:szCs w:val="22"/>
        </w:rPr>
        <w:t xml:space="preserve">EC - koszty </w:t>
      </w:r>
      <w:proofErr w:type="spellStart"/>
      <w:r w:rsidRPr="006E75EF">
        <w:rPr>
          <w:sz w:val="22"/>
          <w:szCs w:val="22"/>
        </w:rPr>
        <w:t>kwalifikowalne</w:t>
      </w:r>
      <w:proofErr w:type="spellEnd"/>
      <w:r w:rsidRPr="006E75EF">
        <w:rPr>
          <w:sz w:val="22"/>
          <w:szCs w:val="22"/>
        </w:rPr>
        <w:t xml:space="preserve"> projektu wykazane we wniosku o dofinansowanie projektu; </w:t>
      </w:r>
    </w:p>
    <w:p w:rsidR="006E75EF" w:rsidRPr="006E75EF" w:rsidRDefault="006E75EF" w:rsidP="006E75EF">
      <w:pPr>
        <w:pStyle w:val="Default"/>
        <w:rPr>
          <w:sz w:val="22"/>
          <w:szCs w:val="22"/>
        </w:rPr>
      </w:pPr>
      <w:r w:rsidRPr="006E75EF">
        <w:rPr>
          <w:rFonts w:ascii="Wingdings" w:hAnsi="Wingdings" w:cs="Wingdings"/>
          <w:sz w:val="22"/>
          <w:szCs w:val="22"/>
        </w:rPr>
        <w:t></w:t>
      </w:r>
      <w:r w:rsidRPr="006E75EF">
        <w:rPr>
          <w:rFonts w:ascii="Wingdings" w:hAnsi="Wingdings" w:cs="Wingdings"/>
          <w:sz w:val="22"/>
          <w:szCs w:val="22"/>
        </w:rPr>
        <w:t></w:t>
      </w:r>
      <w:r w:rsidRPr="006E75EF">
        <w:rPr>
          <w:sz w:val="22"/>
          <w:szCs w:val="22"/>
        </w:rPr>
        <w:t xml:space="preserve">ZO – zysk operacyjny ; </w:t>
      </w:r>
    </w:p>
    <w:p w:rsidR="006E75EF" w:rsidRDefault="006E75EF" w:rsidP="004E3060">
      <w:pPr>
        <w:pStyle w:val="Default"/>
      </w:pPr>
    </w:p>
    <w:p w:rsidR="00ED3131" w:rsidRDefault="00285DDD" w:rsidP="004E30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koszty </w:t>
      </w:r>
      <w:proofErr w:type="spellStart"/>
      <w:r>
        <w:rPr>
          <w:sz w:val="23"/>
          <w:szCs w:val="23"/>
        </w:rPr>
        <w:t>kwalifikowalne</w:t>
      </w:r>
      <w:proofErr w:type="spellEnd"/>
      <w:r>
        <w:rPr>
          <w:sz w:val="23"/>
          <w:szCs w:val="23"/>
        </w:rPr>
        <w:t xml:space="preserve"> uznaje się koszty inwestycji w rzeczowe aktywa trwałe oraz wartości niematerialne i prawne</w:t>
      </w:r>
    </w:p>
    <w:p w:rsidR="006E75EF" w:rsidRDefault="006E75EF" w:rsidP="004E3060">
      <w:pPr>
        <w:pStyle w:val="Default"/>
        <w:rPr>
          <w:sz w:val="23"/>
          <w:szCs w:val="23"/>
        </w:rPr>
      </w:pPr>
    </w:p>
    <w:p w:rsidR="00ED3131" w:rsidRDefault="00ED3131" w:rsidP="00ED313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Przychody operacyjne to przychody od użytkowników infrastruktury (nie obejmują dotacji operacyjnych) </w:t>
      </w:r>
    </w:p>
    <w:p w:rsidR="00ED3131" w:rsidRDefault="00ED3131" w:rsidP="00ED313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Koszty operacyjne (zgodnie z Art. 2(39) GBER) obejmują koszty, takie jak koszty personelu, materiałów, zakontraktowanych usług, komunikacji, energii, konserwacji, czynszu, administracji, lecz nie uwzględniają kosztów amortyzacji i kosztów finansowania, jeśli zostały one objęte zakresem pomocy inwestycyjnej. </w:t>
      </w:r>
    </w:p>
    <w:p w:rsidR="00ED3131" w:rsidRDefault="00ED3131" w:rsidP="00ED3131">
      <w:pPr>
        <w:pStyle w:val="Default"/>
        <w:jc w:val="both"/>
      </w:pPr>
      <w:r>
        <w:rPr>
          <w:color w:val="auto"/>
          <w:sz w:val="23"/>
          <w:szCs w:val="23"/>
        </w:rPr>
        <w:t>Nie uwzględnia się wartości rezydualnej, ponieważ zakłada się, że okres odniesienia będzie równoznaczny z okresem ekonomicznej użyteczności aktywów oraz, że projekt nie będzie generował przychodów netto po okresie odniesienia.</w:t>
      </w:r>
    </w:p>
    <w:p w:rsidR="00ED3131" w:rsidRDefault="00ED3131" w:rsidP="00ED3131">
      <w:pPr>
        <w:pStyle w:val="Default"/>
        <w:jc w:val="both"/>
      </w:pPr>
    </w:p>
    <w:p w:rsidR="00ED3131" w:rsidRDefault="00ED3131" w:rsidP="004E3060">
      <w:pPr>
        <w:pStyle w:val="Default"/>
      </w:pPr>
    </w:p>
    <w:p w:rsidR="00337DA4" w:rsidRDefault="00337DA4" w:rsidP="004E3060">
      <w:pPr>
        <w:pStyle w:val="Default"/>
        <w:rPr>
          <w:color w:val="auto"/>
          <w:sz w:val="23"/>
          <w:szCs w:val="23"/>
        </w:rPr>
      </w:pPr>
    </w:p>
    <w:p w:rsidR="00337DA4" w:rsidRDefault="00337DA4" w:rsidP="00337DA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Wzór na współczynnik dyskontowy </w:t>
      </w:r>
      <w:r>
        <w:rPr>
          <w:sz w:val="23"/>
          <w:szCs w:val="23"/>
        </w:rPr>
        <w:t xml:space="preserve">używany do dyskontowania przychodów i kosztów operacyjnych: </w:t>
      </w:r>
    </w:p>
    <w:p w:rsidR="00337DA4" w:rsidRDefault="00337DA4" w:rsidP="00337DA4">
      <w:pPr>
        <w:pStyle w:val="Default"/>
        <w:rPr>
          <w:sz w:val="23"/>
          <w:szCs w:val="23"/>
        </w:rPr>
      </w:pPr>
    </w:p>
    <w:p w:rsidR="00337DA4" w:rsidRDefault="00337DA4" w:rsidP="00337DA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</w:t>
      </w:r>
      <w:r w:rsidRPr="00337DA4">
        <w:rPr>
          <w:sz w:val="23"/>
          <w:szCs w:val="23"/>
          <w:vertAlign w:val="subscript"/>
        </w:rPr>
        <w:t>t</w:t>
      </w:r>
      <w:proofErr w:type="spellEnd"/>
      <w:r w:rsidRPr="00337DA4">
        <w:rPr>
          <w:sz w:val="23"/>
          <w:szCs w:val="23"/>
          <w:vertAlign w:val="subscript"/>
        </w:rPr>
        <w:t xml:space="preserve"> </w:t>
      </w:r>
      <w:r>
        <w:rPr>
          <w:sz w:val="23"/>
          <w:szCs w:val="23"/>
        </w:rPr>
        <w:t>= 1/(1-r</w:t>
      </w:r>
      <w:r w:rsidRPr="00337DA4">
        <w:rPr>
          <w:sz w:val="23"/>
          <w:szCs w:val="23"/>
          <w:vertAlign w:val="subscript"/>
        </w:rPr>
        <w:t>d</w:t>
      </w:r>
      <w:r>
        <w:rPr>
          <w:sz w:val="23"/>
          <w:szCs w:val="23"/>
        </w:rPr>
        <w:t>)</w:t>
      </w:r>
      <w:r w:rsidRPr="00337DA4">
        <w:rPr>
          <w:sz w:val="23"/>
          <w:szCs w:val="23"/>
          <w:vertAlign w:val="superscript"/>
        </w:rPr>
        <w:t>t</w:t>
      </w:r>
    </w:p>
    <w:p w:rsidR="00337DA4" w:rsidRPr="00337DA4" w:rsidRDefault="00337DA4" w:rsidP="00337DA4">
      <w:pPr>
        <w:pStyle w:val="Default"/>
        <w:rPr>
          <w:rFonts w:asciiTheme="minorHAnsi" w:hAnsiTheme="minorHAnsi"/>
          <w:sz w:val="23"/>
          <w:szCs w:val="23"/>
        </w:rPr>
      </w:pPr>
      <w:r w:rsidRPr="00337DA4">
        <w:rPr>
          <w:rFonts w:asciiTheme="minorHAnsi" w:hAnsiTheme="minorHAnsi"/>
          <w:sz w:val="23"/>
          <w:szCs w:val="23"/>
        </w:rPr>
        <w:t>t – rok</w:t>
      </w:r>
      <w:r w:rsidRPr="00337DA4">
        <w:rPr>
          <w:rStyle w:val="Odwoanieprzypisudolnego"/>
          <w:rFonts w:asciiTheme="minorHAnsi" w:hAnsiTheme="minorHAnsi"/>
          <w:sz w:val="23"/>
          <w:szCs w:val="23"/>
        </w:rPr>
        <w:footnoteReference w:id="1"/>
      </w:r>
      <w:r w:rsidRPr="00337DA4">
        <w:rPr>
          <w:rFonts w:asciiTheme="minorHAnsi" w:hAnsiTheme="minorHAnsi"/>
          <w:sz w:val="23"/>
          <w:szCs w:val="23"/>
        </w:rPr>
        <w:t xml:space="preserve"> </w:t>
      </w:r>
    </w:p>
    <w:p w:rsidR="004E3060" w:rsidRPr="00337DA4" w:rsidRDefault="00337DA4" w:rsidP="00337DA4">
      <w:proofErr w:type="spellStart"/>
      <w:r w:rsidRPr="00337DA4">
        <w:rPr>
          <w:sz w:val="23"/>
          <w:szCs w:val="23"/>
        </w:rPr>
        <w:t>r</w:t>
      </w:r>
      <w:r w:rsidRPr="00337DA4">
        <w:rPr>
          <w:sz w:val="23"/>
          <w:szCs w:val="23"/>
          <w:vertAlign w:val="subscript"/>
        </w:rPr>
        <w:t>d</w:t>
      </w:r>
      <w:proofErr w:type="spellEnd"/>
      <w:r w:rsidRPr="00337DA4">
        <w:rPr>
          <w:sz w:val="23"/>
          <w:szCs w:val="23"/>
          <w:vertAlign w:val="subscript"/>
        </w:rPr>
        <w:t xml:space="preserve"> </w:t>
      </w:r>
      <w:r w:rsidRPr="00337DA4">
        <w:rPr>
          <w:sz w:val="23"/>
          <w:szCs w:val="23"/>
        </w:rPr>
        <w:t>– stopa dyskontowa</w:t>
      </w:r>
    </w:p>
    <w:sectPr w:rsidR="004E3060" w:rsidRPr="00337DA4" w:rsidSect="00D00B82">
      <w:headerReference w:type="default" r:id="rId8"/>
      <w:pgSz w:w="11906" w:h="16838" w:code="9"/>
      <w:pgMar w:top="238" w:right="1418" w:bottom="1077" w:left="1418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13" w:rsidRDefault="004E1013" w:rsidP="002435E1">
      <w:pPr>
        <w:spacing w:after="0" w:line="240" w:lineRule="auto"/>
      </w:pPr>
      <w:r>
        <w:separator/>
      </w:r>
    </w:p>
  </w:endnote>
  <w:endnote w:type="continuationSeparator" w:id="0">
    <w:p w:rsidR="004E1013" w:rsidRDefault="004E1013" w:rsidP="002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13" w:rsidRDefault="004E1013" w:rsidP="002435E1">
      <w:pPr>
        <w:spacing w:after="0" w:line="240" w:lineRule="auto"/>
      </w:pPr>
      <w:r>
        <w:separator/>
      </w:r>
    </w:p>
  </w:footnote>
  <w:footnote w:type="continuationSeparator" w:id="0">
    <w:p w:rsidR="004E1013" w:rsidRDefault="004E1013" w:rsidP="002435E1">
      <w:pPr>
        <w:spacing w:after="0" w:line="240" w:lineRule="auto"/>
      </w:pPr>
      <w:r>
        <w:continuationSeparator/>
      </w:r>
    </w:p>
  </w:footnote>
  <w:footnote w:id="1">
    <w:p w:rsidR="004E1013" w:rsidRDefault="004E10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Na potrzeby dyskontowania pierwszy rok okresu odniesienia traktowany jest, jako „rok zerowy” (t=0; współczynnik dyskontowy=1) prognoza przepływów pieniężnych powinna obejmować okres od roku zerowego do roku t, gdzie t oznacza liczbę lat okresu odniesienia przyjętego do analizy pomniejszoną o 1. 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5" w:type="dxa"/>
      <w:jc w:val="center"/>
      <w:tblLook w:val="04A0"/>
    </w:tblPr>
    <w:tblGrid>
      <w:gridCol w:w="235"/>
      <w:gridCol w:w="1916"/>
      <w:gridCol w:w="3323"/>
      <w:gridCol w:w="2187"/>
      <w:gridCol w:w="2504"/>
    </w:tblGrid>
    <w:tr w:rsidR="004E1013" w:rsidRPr="008F6650" w:rsidTr="00D00B82">
      <w:trPr>
        <w:trHeight w:val="1046"/>
        <w:jc w:val="center"/>
      </w:trPr>
      <w:tc>
        <w:tcPr>
          <w:tcW w:w="235" w:type="dxa"/>
        </w:tcPr>
        <w:p w:rsidR="004E1013" w:rsidRPr="008F6650" w:rsidRDefault="004E1013" w:rsidP="002435E1">
          <w:pPr>
            <w:ind w:right="846"/>
          </w:pPr>
        </w:p>
      </w:tc>
      <w:tc>
        <w:tcPr>
          <w:tcW w:w="1916" w:type="dxa"/>
        </w:tcPr>
        <w:p w:rsidR="004E1013" w:rsidRPr="00D77D6D" w:rsidRDefault="004E1013" w:rsidP="002435E1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dxa"/>
        </w:tcPr>
        <w:p w:rsidR="004E1013" w:rsidRPr="00D77D6D" w:rsidRDefault="004E1013" w:rsidP="002435E1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9" w:type="dxa"/>
        </w:tcPr>
        <w:p w:rsidR="004E1013" w:rsidRPr="00D77D6D" w:rsidRDefault="004E1013" w:rsidP="002435E1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8" w:type="dxa"/>
        </w:tcPr>
        <w:p w:rsidR="004E1013" w:rsidRPr="00D77D6D" w:rsidRDefault="004E1013" w:rsidP="002435E1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1013" w:rsidRDefault="004E1013" w:rsidP="00D00B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A76"/>
    <w:multiLevelType w:val="hybridMultilevel"/>
    <w:tmpl w:val="19147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21"/>
    <w:rsid w:val="000212B3"/>
    <w:rsid w:val="000778E9"/>
    <w:rsid w:val="000A4621"/>
    <w:rsid w:val="002435E1"/>
    <w:rsid w:val="00285DDD"/>
    <w:rsid w:val="002E6AAD"/>
    <w:rsid w:val="00337DA4"/>
    <w:rsid w:val="00352846"/>
    <w:rsid w:val="00440B0B"/>
    <w:rsid w:val="00467E53"/>
    <w:rsid w:val="004E1013"/>
    <w:rsid w:val="004E3060"/>
    <w:rsid w:val="005647D6"/>
    <w:rsid w:val="005962EE"/>
    <w:rsid w:val="00693188"/>
    <w:rsid w:val="006E0B55"/>
    <w:rsid w:val="006E75EF"/>
    <w:rsid w:val="008F4AE7"/>
    <w:rsid w:val="00913681"/>
    <w:rsid w:val="00935D06"/>
    <w:rsid w:val="00A22CA5"/>
    <w:rsid w:val="00AF050A"/>
    <w:rsid w:val="00B35192"/>
    <w:rsid w:val="00B46238"/>
    <w:rsid w:val="00B87AF3"/>
    <w:rsid w:val="00BC6E3D"/>
    <w:rsid w:val="00D00B82"/>
    <w:rsid w:val="00D45C6B"/>
    <w:rsid w:val="00D623A1"/>
    <w:rsid w:val="00D83376"/>
    <w:rsid w:val="00DE073D"/>
    <w:rsid w:val="00E32887"/>
    <w:rsid w:val="00ED3131"/>
    <w:rsid w:val="00F407F0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5E1"/>
  </w:style>
  <w:style w:type="paragraph" w:styleId="Stopka">
    <w:name w:val="footer"/>
    <w:basedOn w:val="Normalny"/>
    <w:link w:val="StopkaZnak"/>
    <w:uiPriority w:val="99"/>
    <w:semiHidden/>
    <w:unhideWhenUsed/>
    <w:rsid w:val="0024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5E1"/>
  </w:style>
  <w:style w:type="paragraph" w:styleId="Tekstdymka">
    <w:name w:val="Balloon Text"/>
    <w:basedOn w:val="Normalny"/>
    <w:link w:val="TekstdymkaZnak"/>
    <w:uiPriority w:val="99"/>
    <w:semiHidden/>
    <w:unhideWhenUsed/>
    <w:rsid w:val="0024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5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35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7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1858-4B5C-4330-95C5-78C2D450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raffud</dc:creator>
  <cp:keywords/>
  <dc:description/>
  <cp:lastModifiedBy>raffud</cp:lastModifiedBy>
  <cp:revision>22</cp:revision>
  <cp:lastPrinted>2018-06-28T12:14:00Z</cp:lastPrinted>
  <dcterms:created xsi:type="dcterms:W3CDTF">2018-06-25T10:31:00Z</dcterms:created>
  <dcterms:modified xsi:type="dcterms:W3CDTF">2018-06-28T12:35:00Z</dcterms:modified>
</cp:coreProperties>
</file>