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35" w:rsidRPr="002A31CD" w:rsidRDefault="002A31CD" w:rsidP="00D1049A">
      <w:pPr>
        <w:jc w:val="both"/>
        <w:rPr>
          <w:b/>
          <w:sz w:val="32"/>
          <w:szCs w:val="32"/>
        </w:rPr>
      </w:pPr>
      <w:r w:rsidRPr="002A31CD">
        <w:rPr>
          <w:b/>
          <w:sz w:val="32"/>
          <w:szCs w:val="32"/>
          <w:highlight w:val="lightGray"/>
        </w:rPr>
        <w:t>Najczęściej zadawane pytania z Poddziałania</w:t>
      </w:r>
      <w:r w:rsidR="00775835" w:rsidRPr="002A31CD">
        <w:rPr>
          <w:b/>
          <w:sz w:val="32"/>
          <w:szCs w:val="32"/>
          <w:highlight w:val="lightGray"/>
        </w:rPr>
        <w:t xml:space="preserve"> 8.5.</w:t>
      </w:r>
      <w:r w:rsidRPr="002A31CD">
        <w:rPr>
          <w:b/>
          <w:sz w:val="32"/>
          <w:szCs w:val="32"/>
          <w:shd w:val="clear" w:color="auto" w:fill="D9D9D9" w:themeFill="background1" w:themeFillShade="D9"/>
        </w:rPr>
        <w:t>1 RPOWŚ 2014-2020</w:t>
      </w:r>
    </w:p>
    <w:p w:rsidR="00775835" w:rsidRDefault="00775835" w:rsidP="00D1049A">
      <w:pPr>
        <w:jc w:val="both"/>
        <w:rPr>
          <w:b/>
        </w:rPr>
      </w:pPr>
    </w:p>
    <w:p w:rsidR="005B52F1" w:rsidRPr="00A91A1C" w:rsidRDefault="005B52F1" w:rsidP="00D1049A">
      <w:pPr>
        <w:jc w:val="both"/>
        <w:rPr>
          <w:b/>
        </w:rPr>
      </w:pPr>
      <w:r w:rsidRPr="00A91A1C">
        <w:rPr>
          <w:b/>
        </w:rPr>
        <w:t xml:space="preserve">Czy w ramach typu operacji nr 5 – doposażenie szkół - możliwe jest zakupienie </w:t>
      </w:r>
      <w:r w:rsidR="00D1049A">
        <w:rPr>
          <w:b/>
        </w:rPr>
        <w:t>sprzętu</w:t>
      </w:r>
      <w:r w:rsidRPr="00A91A1C">
        <w:rPr>
          <w:b/>
        </w:rPr>
        <w:t xml:space="preserve"> nie ujętego w szczegółowym katalogu wyposażenia pracowni lub warsztatów szkolnych opracowanego przez MEN (np. jeśli zakup taki wynika z analizy potrzeb szkoły w kontekście realizowanych zadań projektowych)</w:t>
      </w:r>
      <w:r w:rsidR="00A91A1C" w:rsidRPr="00A91A1C">
        <w:rPr>
          <w:b/>
        </w:rPr>
        <w:t>?</w:t>
      </w:r>
    </w:p>
    <w:p w:rsidR="00A91A1C" w:rsidRPr="00A91A1C" w:rsidRDefault="00A91A1C" w:rsidP="00D1049A">
      <w:pPr>
        <w:pStyle w:val="Default"/>
        <w:jc w:val="both"/>
        <w:rPr>
          <w:rFonts w:asciiTheme="minorHAnsi" w:hAnsiTheme="minorHAnsi"/>
          <w:color w:val="auto"/>
          <w:sz w:val="22"/>
          <w:szCs w:val="22"/>
        </w:rPr>
      </w:pPr>
      <w:r w:rsidRPr="00A91A1C">
        <w:rPr>
          <w:rFonts w:asciiTheme="minorHAnsi" w:hAnsiTheme="minorHAnsi"/>
          <w:color w:val="auto"/>
          <w:sz w:val="22"/>
          <w:szCs w:val="22"/>
        </w:rPr>
        <w:t xml:space="preserve">Zgodnie z zapisami regulaminu </w:t>
      </w:r>
      <w:r w:rsidR="00D1049A">
        <w:rPr>
          <w:rFonts w:asciiTheme="minorHAnsi" w:hAnsiTheme="minorHAnsi"/>
          <w:color w:val="auto"/>
          <w:sz w:val="22"/>
          <w:szCs w:val="22"/>
        </w:rPr>
        <w:t>konkursu</w:t>
      </w:r>
      <w:r w:rsidR="00A86F48">
        <w:rPr>
          <w:rFonts w:asciiTheme="minorHAnsi" w:hAnsiTheme="minorHAnsi"/>
          <w:color w:val="auto"/>
          <w:sz w:val="22"/>
          <w:szCs w:val="22"/>
        </w:rPr>
        <w:t xml:space="preserve"> </w:t>
      </w:r>
      <w:r w:rsidRPr="00A91A1C">
        <w:rPr>
          <w:rFonts w:asciiTheme="minorHAnsi" w:hAnsiTheme="minorHAnsi"/>
          <w:color w:val="auto"/>
          <w:sz w:val="22"/>
          <w:szCs w:val="22"/>
        </w:rPr>
        <w:t xml:space="preserve">katalog wyposażenia pracowni lub warsztatów szkolnych opracowany przez MEN ma charakter zamknięty i nie jest możliwe wykraczanie poza jego ramy. </w:t>
      </w:r>
      <w:r>
        <w:rPr>
          <w:rFonts w:asciiTheme="minorHAnsi" w:hAnsiTheme="minorHAnsi"/>
          <w:color w:val="auto"/>
          <w:sz w:val="22"/>
          <w:szCs w:val="22"/>
        </w:rPr>
        <w:t xml:space="preserve">Katalog ten dostępny jest pod linkiem </w:t>
      </w:r>
      <w:hyperlink r:id="rId5" w:history="1">
        <w:r w:rsidRPr="00242F36">
          <w:rPr>
            <w:rStyle w:val="Hipercze"/>
            <w:rFonts w:asciiTheme="minorHAnsi" w:hAnsiTheme="minorHAnsi"/>
            <w:sz w:val="22"/>
            <w:szCs w:val="22"/>
          </w:rPr>
          <w:t>http://efs.men.gov.pl/dokumenty/wytyczne-w-zakresie-realizacji-przedsiewziec-z-udzialem-srodkow-europejskiego-funduszu-spolecznego-w-obszarze-edukacji-na-lata-2014-2020/</w:t>
        </w:r>
      </w:hyperlink>
      <w:r>
        <w:rPr>
          <w:rFonts w:asciiTheme="minorHAnsi" w:hAnsiTheme="minorHAnsi"/>
          <w:color w:val="auto"/>
          <w:sz w:val="22"/>
          <w:szCs w:val="22"/>
        </w:rPr>
        <w:t xml:space="preserve"> </w:t>
      </w:r>
    </w:p>
    <w:p w:rsidR="005B52F1" w:rsidRDefault="005B52F1" w:rsidP="00D1049A">
      <w:pPr>
        <w:jc w:val="both"/>
        <w:rPr>
          <w:b/>
        </w:rPr>
      </w:pPr>
    </w:p>
    <w:p w:rsidR="00265EE6" w:rsidRDefault="00265EE6" w:rsidP="00D1049A">
      <w:pPr>
        <w:jc w:val="both"/>
        <w:rPr>
          <w:rFonts w:ascii="Calibri" w:hAnsi="Calibri"/>
          <w:b/>
        </w:rPr>
      </w:pPr>
    </w:p>
    <w:p w:rsidR="005B52F1" w:rsidRPr="005B52F1" w:rsidRDefault="005B52F1" w:rsidP="00D1049A">
      <w:pPr>
        <w:jc w:val="both"/>
        <w:rPr>
          <w:rFonts w:ascii="Calibri" w:hAnsi="Calibri"/>
          <w:b/>
        </w:rPr>
      </w:pPr>
      <w:r w:rsidRPr="005B52F1">
        <w:rPr>
          <w:rFonts w:ascii="Calibri" w:hAnsi="Calibri"/>
          <w:b/>
        </w:rPr>
        <w:t xml:space="preserve">W </w:t>
      </w:r>
      <w:r w:rsidR="003D3F2F">
        <w:rPr>
          <w:rFonts w:ascii="Calibri" w:hAnsi="Calibri"/>
          <w:b/>
        </w:rPr>
        <w:t>ramach aktualnego</w:t>
      </w:r>
      <w:r w:rsidRPr="005B52F1">
        <w:rPr>
          <w:rFonts w:ascii="Calibri" w:hAnsi="Calibri"/>
          <w:b/>
        </w:rPr>
        <w:t xml:space="preserve"> konkursu dla Poddziałania 8.5.1 wsparcie w zakresie doposażenia szkół może być realizowane jedynie jako działanie u</w:t>
      </w:r>
      <w:r>
        <w:rPr>
          <w:rFonts w:ascii="Calibri" w:hAnsi="Calibri"/>
          <w:b/>
        </w:rPr>
        <w:t>zupełniające inny typ operacji.</w:t>
      </w:r>
      <w:r w:rsidRPr="005B52F1">
        <w:rPr>
          <w:rFonts w:ascii="Calibri" w:hAnsi="Calibri"/>
          <w:b/>
        </w:rPr>
        <w:br/>
        <w:t>W naszym  projekcie chcemy połączyć typ dotyczący doposażenia z typem związanym z realizacją staży (pierwszy typ operacji w konkursie). Zakupione w projekcie nowoczesne doposażenie (zgodne z piątym typem operacji) wykorzystamy do lepszej realizacji podstawy programowej, która nie jest przedmiotem ww. konkursu.</w:t>
      </w:r>
      <w:r w:rsidRPr="005B52F1">
        <w:rPr>
          <w:b/>
        </w:rPr>
        <w:t xml:space="preserve"> Nie planujemy realizacji zajęć pozalekcyjnych w ramach projektu na zakupionym sprzęcie.</w:t>
      </w:r>
      <w:r w:rsidRPr="005B52F1">
        <w:rPr>
          <w:rFonts w:ascii="Calibri" w:hAnsi="Calibri"/>
          <w:b/>
        </w:rPr>
        <w:br/>
      </w:r>
      <w:r w:rsidRPr="005B52F1">
        <w:rPr>
          <w:b/>
        </w:rPr>
        <w:t>W związku z powyższym, czy doposażenie może być przedmiotem projektu przy założeniu, że sprzęt ten zostanie wykorzystany do realizacji podstawy programowej</w:t>
      </w:r>
      <w:r w:rsidR="00D1049A">
        <w:rPr>
          <w:b/>
        </w:rPr>
        <w:t>, czyli poza działaniami projektowymi</w:t>
      </w:r>
      <w:r w:rsidRPr="005B52F1">
        <w:rPr>
          <w:b/>
        </w:rPr>
        <w:t xml:space="preserve"> (projekt miałby zakładać  tylko dwa zadania -  w obszarze doposażenia i staży)</w:t>
      </w:r>
      <w:r w:rsidR="003D3F2F">
        <w:rPr>
          <w:b/>
        </w:rPr>
        <w:t>?</w:t>
      </w:r>
      <w:r w:rsidRPr="005B52F1">
        <w:rPr>
          <w:rFonts w:ascii="Calibri" w:hAnsi="Calibri"/>
          <w:b/>
        </w:rPr>
        <w:t xml:space="preserve"> </w:t>
      </w:r>
    </w:p>
    <w:p w:rsidR="005B52F1" w:rsidRPr="00E90ED5" w:rsidRDefault="005B52F1" w:rsidP="00D1049A">
      <w:pPr>
        <w:jc w:val="both"/>
        <w:rPr>
          <w:rFonts w:cs="Arial"/>
        </w:rPr>
      </w:pPr>
      <w:r w:rsidRPr="00E90ED5">
        <w:rPr>
          <w:rFonts w:cs="Arial"/>
        </w:rPr>
        <w:t xml:space="preserve">Wszystko zależy od tego, jaki cel określi beneficjent w projekcie i jak tę sprawę opisze we wniosku. Może np. wskazać, że jego celem jest poprawa jakości nauczania praktycznego w szkołach i chce działać dwutorowo, z jednej pogłębić współpracę z przedsiębiorcami z drugiej wspierać własne struktury. </w:t>
      </w:r>
    </w:p>
    <w:p w:rsidR="005B52F1" w:rsidRPr="005B52F1" w:rsidRDefault="005B52F1" w:rsidP="00D1049A">
      <w:pPr>
        <w:jc w:val="both"/>
        <w:rPr>
          <w:rFonts w:cs="Arial"/>
        </w:rPr>
      </w:pPr>
      <w:r w:rsidRPr="00E90ED5">
        <w:rPr>
          <w:rFonts w:cs="Arial"/>
        </w:rPr>
        <w:t xml:space="preserve">IOK nie wyklucza realizacji typu operacji nr 5 bez powiązania go z zajęciami projektowymi wykorzystującymi zakupiony w ramach projektu sprzęt. Doposażenie pracowni ma służyć podniesieniu jakości kształcenia zawodowego, co jest celem danego konkursu. Nie należy </w:t>
      </w:r>
      <w:r>
        <w:rPr>
          <w:rFonts w:cs="Arial"/>
        </w:rPr>
        <w:t xml:space="preserve">oczywiście zapominać </w:t>
      </w:r>
      <w:r w:rsidRPr="00E90ED5">
        <w:rPr>
          <w:rFonts w:cs="Arial"/>
        </w:rPr>
        <w:t xml:space="preserve">o obowiązku, wynikającym z zapisów regulaminu, że </w:t>
      </w:r>
      <w:r>
        <w:rPr>
          <w:rFonts w:cs="Arial"/>
        </w:rPr>
        <w:t xml:space="preserve">typ 5 musi być realizowany </w:t>
      </w:r>
      <w:r w:rsidRPr="005B52F1">
        <w:rPr>
          <w:rFonts w:cs="Arial"/>
        </w:rPr>
        <w:t xml:space="preserve">łącznie z innym typem projekt (dowolnym). </w:t>
      </w:r>
    </w:p>
    <w:p w:rsidR="005B52F1" w:rsidRPr="005B52F1" w:rsidRDefault="005B52F1" w:rsidP="00D1049A">
      <w:pPr>
        <w:jc w:val="both"/>
        <w:rPr>
          <w:rFonts w:cs="Arial"/>
        </w:rPr>
      </w:pPr>
      <w:r w:rsidRPr="005B52F1">
        <w:rPr>
          <w:rFonts w:cs="Arial"/>
        </w:rPr>
        <w:t xml:space="preserve">UWAGA: W ramach typu 5 jest możliwość </w:t>
      </w:r>
      <w:r w:rsidRPr="002A31CD">
        <w:rPr>
          <w:rFonts w:cs="Arial"/>
          <w:u w:val="single"/>
        </w:rPr>
        <w:t>doposażenia w narzędzia TIK</w:t>
      </w:r>
      <w:r w:rsidRPr="005B52F1">
        <w:rPr>
          <w:rFonts w:cs="Arial"/>
        </w:rPr>
        <w:t xml:space="preserve">. Te narzędzia można zakupić tylko w celu prawidłowej realizacji projektu, czyli np. do realizacji zajęć pozalekcyjnych w ramach rozwijania kompetencji kluczowych. </w:t>
      </w:r>
    </w:p>
    <w:p w:rsidR="005B52F1" w:rsidRDefault="005B52F1" w:rsidP="00D1049A">
      <w:pPr>
        <w:jc w:val="both"/>
        <w:rPr>
          <w:rFonts w:ascii="Calibri" w:hAnsi="Calibri"/>
          <w:b/>
        </w:rPr>
      </w:pPr>
    </w:p>
    <w:p w:rsidR="003D3F2F" w:rsidRDefault="003D3F2F" w:rsidP="00D1049A">
      <w:pPr>
        <w:autoSpaceDE w:val="0"/>
        <w:autoSpaceDN w:val="0"/>
        <w:adjustRightInd w:val="0"/>
        <w:spacing w:line="240" w:lineRule="auto"/>
        <w:jc w:val="both"/>
        <w:rPr>
          <w:b/>
        </w:rPr>
      </w:pPr>
      <w:r>
        <w:rPr>
          <w:b/>
        </w:rPr>
        <w:t>Zapisy regulaminu mówią, że „</w:t>
      </w:r>
      <w:r w:rsidRPr="003D3F2F">
        <w:rPr>
          <w:b/>
        </w:rPr>
        <w:t>Przedsięwzięcia finansowane ze środków EFS muszą stanowić uzupełnienie działań prowadzonych przed rozpoczęciem realizacji projektu przez szkoły lub placówki systemu oświaty. Skala działań prowadzonych przed rozpoczęciem realizacji przez szkoły lub placówki systemu oświaty (nakłady środków na ich realizację) nie ulegnie zmniejszeniu w stosunku do skali działań (nakładów) prowadzonych przez szkoły lub placówki systemu oświaty w okresie 12 miesięcy poprzedzających złożenie wniosku o dofinansowanie projektu (średniomiesięcznie)</w:t>
      </w:r>
      <w:r>
        <w:rPr>
          <w:b/>
        </w:rPr>
        <w:t>”</w:t>
      </w:r>
      <w:r w:rsidRPr="003D3F2F">
        <w:rPr>
          <w:b/>
        </w:rPr>
        <w:t>. Czy w związku z tym szkoła, która realizuje staże zawodowe u pracodawców może zaplanować staże zawodowe w ramach projektu?</w:t>
      </w:r>
    </w:p>
    <w:p w:rsidR="003D3F2F" w:rsidRDefault="003D3F2F" w:rsidP="00D1049A">
      <w:pPr>
        <w:jc w:val="both"/>
      </w:pPr>
      <w:r>
        <w:lastRenderedPageBreak/>
        <w:t xml:space="preserve">Realizacja praktycznej nauki zawodu możliwa jest w 3 formach. Realizacja tych form została pomyślana w taki sposób, aby środki EFS stanowiły uzupełnienie działalności szkoły, a nie zastępowały finansowania publicznego. </w:t>
      </w:r>
    </w:p>
    <w:p w:rsidR="003D3F2F" w:rsidRDefault="003D3F2F" w:rsidP="00D1049A">
      <w:pPr>
        <w:jc w:val="both"/>
      </w:pPr>
      <w:r>
        <w:t>1) w zasadniczych szkołach zawodowych, w których realizowane są wyłącznie zajęcia praktyczne (o których mowa w Rozporządzeniu) istnieje możliwość sfinansowania praktyk zawodowych, będących uzupełnieniem praktycznej nauki zawodu organizowanej w tych szkołach.</w:t>
      </w:r>
    </w:p>
    <w:p w:rsidR="003D3F2F" w:rsidRPr="003D3F2F" w:rsidRDefault="003D3F2F" w:rsidP="00D1049A">
      <w:pPr>
        <w:jc w:val="both"/>
        <w:rPr>
          <w:u w:val="single"/>
        </w:rPr>
      </w:pPr>
      <w:r>
        <w:t xml:space="preserve">2) w technikach i szkołach policealnych można z kolei realizować staże zawodowe, zarówno w ramach kształcenia zawodowego praktycznego, jak i poza ty tym zakresem. Jeżeli w ww. szkołach nie ma </w:t>
      </w:r>
      <w:r w:rsidRPr="003D3F2F">
        <w:t>możliwości organizacji tego typu kształcenia w wymiarze określonym w podstawie programowej, we współpracy z pracodawcami, gdyż szkoła nie posiada na ten cel środków finansowych, to EFS powinien umożliwiać realizację takich działań</w:t>
      </w:r>
      <w:r w:rsidRPr="003D3F2F">
        <w:rPr>
          <w:u w:val="single"/>
        </w:rPr>
        <w:t>. Jeżeli natomiast szkoły dysponują takimi środkami, to można za pomocą EFS zwiększyć wymiar praktyk zawodowych objętych podstawą programową nauczania danego zawodu realizując staż.</w:t>
      </w:r>
    </w:p>
    <w:p w:rsidR="003D3F2F" w:rsidRPr="003D3F2F" w:rsidRDefault="003D3F2F" w:rsidP="00D1049A">
      <w:pPr>
        <w:jc w:val="both"/>
      </w:pPr>
      <w:r w:rsidRPr="003D3F2F">
        <w:t>3) Istnieje również 3 sposób – sfinansowanie staży w innych szkołach o profilu zawodowym (np.: szkoły artystyczne).</w:t>
      </w:r>
    </w:p>
    <w:p w:rsidR="003D3F2F" w:rsidRPr="003D3F2F" w:rsidRDefault="003D3F2F" w:rsidP="00D1049A">
      <w:pPr>
        <w:jc w:val="both"/>
      </w:pPr>
      <w:r w:rsidRPr="003D3F2F">
        <w:t>Określenie "kształcenie zawodowe praktyczne" występuje w rozporządzeniu MEN w sprawie ramowych planów nauczania w szkołach publicznych. Zgodnie z tym rozporządzeniem:</w:t>
      </w:r>
    </w:p>
    <w:p w:rsidR="003D3F2F" w:rsidRPr="003D3F2F" w:rsidRDefault="003D3F2F" w:rsidP="00D1049A">
      <w:pPr>
        <w:jc w:val="both"/>
      </w:pPr>
      <w:r w:rsidRPr="003D3F2F">
        <w:t>• w zasadniczej szkole zawodowej w trzyletnim okresie nauczania minimalny wymiar godzin obowiązkowych zajęć edukacyjnych przypadających na kształcenie zawodowe teoretyczne  wynosi 630 godzin, a na kształcenie zawodowe praktyczne - 970 godzin (w tym zajęcia praktyczne);</w:t>
      </w:r>
    </w:p>
    <w:p w:rsidR="003D3F2F" w:rsidRPr="003D3F2F" w:rsidRDefault="003D3F2F" w:rsidP="00D1049A">
      <w:pPr>
        <w:jc w:val="both"/>
      </w:pPr>
      <w:r w:rsidRPr="003D3F2F">
        <w:t>• w technikum w czteroletnim okresie nauczania minimalny wymiar godzin obowiązkowych zajęć edukacyjnych przypadających na kształcenie zawodowe teoretyczne wynosi 735 godzin, a na kształcenie zawodowe praktyczne - 735 godzin (w tym praktyki zawodowe).</w:t>
      </w:r>
    </w:p>
    <w:p w:rsidR="003D3F2F" w:rsidRPr="003D3F2F" w:rsidRDefault="003D3F2F" w:rsidP="00D1049A">
      <w:pPr>
        <w:jc w:val="both"/>
        <w:rPr>
          <w:u w:val="single"/>
        </w:rPr>
      </w:pPr>
      <w:r w:rsidRPr="003D3F2F">
        <w:t xml:space="preserve">Jednocześnie zgodnie z rozporządzeniem MEN w sprawie praktycznej nauki zawodu kształcenie zawodowe praktyczne realizowane jest w formie zajęć praktycznych i praktyk zawodowych. Finansowanie zajęć praktycznych w zasadniczej szkole zawodowej oraz praktyk zawodowych w technikum i szkole policealnej jest zapewnione ze środków subwencji oświatowej. Tym samym, wsparcie w ramach RPO może dotyczyć zwłaszcza finansowania kształcenia zawodowego praktycznego realizowanego u pracodawców w technikum i w szkołach policealnych oraz praktyk zawodowych dla uczniów zasadniczych szkół zawodowych, którzy nie są młodocianymi pracownikami. </w:t>
      </w:r>
      <w:r w:rsidRPr="003D3F2F">
        <w:rPr>
          <w:u w:val="single"/>
        </w:rPr>
        <w:t>Staż wykraczający poza kształcenie zawodowe praktyczne nie zalicza się ani do praktycznej nauki zawodu ani do praktyk zawodowych.</w:t>
      </w:r>
    </w:p>
    <w:p w:rsidR="003D3F2F" w:rsidRPr="003D3F2F" w:rsidRDefault="003D3F2F" w:rsidP="00D1049A">
      <w:pPr>
        <w:jc w:val="both"/>
        <w:rPr>
          <w:rFonts w:ascii="Calibri" w:hAnsi="Calibri"/>
          <w:u w:val="single"/>
        </w:rPr>
      </w:pPr>
      <w:r w:rsidRPr="003D3F2F">
        <w:rPr>
          <w:rFonts w:ascii="Calibri" w:hAnsi="Calibri"/>
        </w:rPr>
        <w:t xml:space="preserve">Reasumując, regulamin wskazuje możliwość realizacji wyłącznie działań dodatkowych do tych, które nie są finansowane przez szkoły. Oznacza to, że co do zasady nie można sfinansować w ramach EFS obowiązkowych praktyk zawodowych u pracodawców/ przedsiębiorców, z 2 wyjątkami wskazanymi w pkt 1 (praktyki zawodowe) oraz w pkt 2 (staże zawodowe), ale tylko jeżeli szkoły nie realizują takich działań u pracodawców. Jeżeli natomiast takie działania realizują, mają na nie środki to nie powinny ich podwójnie finansować, w tym dodatkowo z EFS. </w:t>
      </w:r>
      <w:r w:rsidRPr="003D3F2F">
        <w:rPr>
          <w:rFonts w:ascii="Calibri" w:hAnsi="Calibri"/>
          <w:u w:val="single"/>
        </w:rPr>
        <w:t>Mogą wówczas wyłącznie zwiększyć wymiar tych praktyk i ,,t</w:t>
      </w:r>
      <w:r>
        <w:rPr>
          <w:rFonts w:ascii="Calibri" w:hAnsi="Calibri"/>
          <w:u w:val="single"/>
        </w:rPr>
        <w:t>o</w:t>
      </w:r>
      <w:r w:rsidRPr="003D3F2F">
        <w:rPr>
          <w:rFonts w:ascii="Calibri" w:hAnsi="Calibri"/>
          <w:u w:val="single"/>
        </w:rPr>
        <w:t xml:space="preserve"> zwiększenie” sfinansować ze środków EFS. </w:t>
      </w:r>
    </w:p>
    <w:p w:rsidR="003D3F2F" w:rsidRDefault="003D3F2F" w:rsidP="00D1049A">
      <w:pPr>
        <w:jc w:val="both"/>
        <w:rPr>
          <w:rFonts w:ascii="Calibri" w:hAnsi="Calibri"/>
        </w:rPr>
      </w:pPr>
      <w:r>
        <w:rPr>
          <w:rFonts w:ascii="Calibri" w:hAnsi="Calibri"/>
        </w:rPr>
        <w:t>J</w:t>
      </w:r>
      <w:r w:rsidRPr="00B3569C">
        <w:rPr>
          <w:rFonts w:ascii="Calibri" w:hAnsi="Calibri"/>
        </w:rPr>
        <w:t xml:space="preserve">eżeli szkoła organizuje praktyki zawodowe na zasadach wskazanych w Rozporządzeniu o praktycznej nauce zawodu to nie może zacząć finansować tych działań w projekcie, nie może również sfinansować dodatkowo tylko niektórych elementów, np.: wynagrodzenia stażystów/praktykantów. Może </w:t>
      </w:r>
      <w:r w:rsidRPr="00B3569C">
        <w:rPr>
          <w:rFonts w:ascii="Calibri" w:hAnsi="Calibri"/>
        </w:rPr>
        <w:lastRenderedPageBreak/>
        <w:t xml:space="preserve">ewentualnie zwiększyć wymiar praktycznej nauki zawodu o dodatkowe godziny, uznając, że realizuje staż i sfinansować je na zasadach określonych w </w:t>
      </w:r>
      <w:r>
        <w:rPr>
          <w:rFonts w:ascii="Calibri" w:hAnsi="Calibri"/>
        </w:rPr>
        <w:t xml:space="preserve">regulaminie </w:t>
      </w:r>
      <w:r w:rsidRPr="00B3569C">
        <w:rPr>
          <w:rFonts w:ascii="Calibri" w:hAnsi="Calibri"/>
        </w:rPr>
        <w:t>Wytycznych</w:t>
      </w:r>
      <w:r>
        <w:rPr>
          <w:rFonts w:ascii="Calibri" w:hAnsi="Calibri"/>
        </w:rPr>
        <w:t xml:space="preserve"> w obszarze edukacji</w:t>
      </w:r>
      <w:r w:rsidRPr="00B3569C">
        <w:rPr>
          <w:rFonts w:ascii="Calibri" w:hAnsi="Calibri"/>
        </w:rPr>
        <w:t xml:space="preserve">. </w:t>
      </w:r>
    </w:p>
    <w:p w:rsidR="003D3F2F" w:rsidRDefault="003D3F2F" w:rsidP="00D1049A">
      <w:pPr>
        <w:jc w:val="both"/>
        <w:rPr>
          <w:rFonts w:ascii="Calibri" w:hAnsi="Calibri"/>
          <w:b/>
        </w:rPr>
      </w:pPr>
    </w:p>
    <w:p w:rsidR="005B52F1" w:rsidRPr="005B52F1" w:rsidRDefault="005B52F1" w:rsidP="00D1049A">
      <w:pPr>
        <w:jc w:val="both"/>
        <w:rPr>
          <w:rFonts w:ascii="Calibri" w:hAnsi="Calibri"/>
          <w:b/>
        </w:rPr>
      </w:pPr>
      <w:r w:rsidRPr="005B52F1">
        <w:rPr>
          <w:rFonts w:ascii="Calibri" w:hAnsi="Calibri"/>
          <w:b/>
        </w:rPr>
        <w:t xml:space="preserve">Czy opiekun stażysty zatrudniony przez pracodawcę (a nie </w:t>
      </w:r>
      <w:r>
        <w:rPr>
          <w:rFonts w:ascii="Calibri" w:hAnsi="Calibri"/>
          <w:b/>
        </w:rPr>
        <w:t>w</w:t>
      </w:r>
      <w:r w:rsidRPr="005B52F1">
        <w:rPr>
          <w:rFonts w:ascii="Calibri" w:hAnsi="Calibri"/>
          <w:b/>
        </w:rPr>
        <w:t>nioskodawcę) jest personelem projektu?</w:t>
      </w:r>
    </w:p>
    <w:p w:rsidR="005B52F1" w:rsidRDefault="005B52F1" w:rsidP="00D1049A">
      <w:pPr>
        <w:jc w:val="both"/>
        <w:rPr>
          <w:rFonts w:ascii="Calibri" w:hAnsi="Calibri"/>
        </w:rPr>
      </w:pPr>
      <w:r>
        <w:rPr>
          <w:rFonts w:ascii="Calibri" w:hAnsi="Calibri"/>
        </w:rPr>
        <w:t>Jeśli opiekun stażystów jest pracownikiem pracodawcy, u którego uczniowie odbywają staż projektowy to wówczas nie stanowi on personelu projektu.</w:t>
      </w:r>
    </w:p>
    <w:p w:rsidR="005B52F1" w:rsidRDefault="005B52F1" w:rsidP="00D1049A">
      <w:pPr>
        <w:jc w:val="both"/>
        <w:rPr>
          <w:b/>
        </w:rPr>
      </w:pPr>
    </w:p>
    <w:p w:rsidR="005B52F1" w:rsidRPr="00956D59" w:rsidRDefault="005B52F1" w:rsidP="00D1049A">
      <w:pPr>
        <w:jc w:val="both"/>
        <w:rPr>
          <w:b/>
        </w:rPr>
      </w:pPr>
      <w:r w:rsidRPr="00956D59">
        <w:rPr>
          <w:b/>
        </w:rPr>
        <w:t>Czy przedsiębiorstwo, w którym będą realizowane staże dla uczniów, musi występować w projekcie jako partner?</w:t>
      </w:r>
    </w:p>
    <w:p w:rsidR="005B52F1" w:rsidRDefault="005B52F1" w:rsidP="00D1049A">
      <w:pPr>
        <w:jc w:val="both"/>
      </w:pPr>
      <w:r>
        <w:t>Nie ma obowiązku aby przedsiębiorstwo, w którym będą realizowane staże lub praktyki projektowe, występowało w opracowanym wniosku jako partner projektowy.</w:t>
      </w:r>
    </w:p>
    <w:p w:rsidR="00FF161A" w:rsidRDefault="00FF161A" w:rsidP="00D1049A">
      <w:pPr>
        <w:jc w:val="both"/>
      </w:pPr>
    </w:p>
    <w:p w:rsidR="00456BAC" w:rsidRPr="00EC63BF" w:rsidRDefault="00EC63BF" w:rsidP="00D1049A">
      <w:pPr>
        <w:jc w:val="both"/>
        <w:rPr>
          <w:b/>
        </w:rPr>
      </w:pPr>
      <w:r w:rsidRPr="00EC63BF">
        <w:rPr>
          <w:b/>
        </w:rPr>
        <w:t>C</w:t>
      </w:r>
      <w:r w:rsidR="00FF161A" w:rsidRPr="00EC63BF">
        <w:rPr>
          <w:b/>
        </w:rPr>
        <w:t>zy można</w:t>
      </w:r>
      <w:r w:rsidRPr="00EC63BF">
        <w:rPr>
          <w:b/>
        </w:rPr>
        <w:t xml:space="preserve"> traktować</w:t>
      </w:r>
      <w:r w:rsidR="00FF161A" w:rsidRPr="00EC63BF">
        <w:rPr>
          <w:b/>
        </w:rPr>
        <w:t xml:space="preserve"> stawki wymienione w taryfikatorze jako stawki jedn</w:t>
      </w:r>
      <w:r w:rsidRPr="00EC63BF">
        <w:rPr>
          <w:b/>
        </w:rPr>
        <w:t>ostkowe za realizację szkoleń/</w:t>
      </w:r>
      <w:r w:rsidR="00FF161A" w:rsidRPr="00EC63BF">
        <w:rPr>
          <w:b/>
        </w:rPr>
        <w:t xml:space="preserve">kursów i </w:t>
      </w:r>
      <w:r w:rsidRPr="00EC63BF">
        <w:rPr>
          <w:b/>
        </w:rPr>
        <w:t xml:space="preserve">na tej podstawie </w:t>
      </w:r>
      <w:r w:rsidR="00FF161A" w:rsidRPr="00EC63BF">
        <w:rPr>
          <w:b/>
        </w:rPr>
        <w:t>rozlicza</w:t>
      </w:r>
      <w:r w:rsidRPr="00EC63BF">
        <w:rPr>
          <w:b/>
        </w:rPr>
        <w:t>ć</w:t>
      </w:r>
      <w:r w:rsidR="00FF161A" w:rsidRPr="00EC63BF">
        <w:rPr>
          <w:b/>
        </w:rPr>
        <w:t xml:space="preserve"> realizację kursu mnoż</w:t>
      </w:r>
      <w:r w:rsidRPr="00EC63BF">
        <w:rPr>
          <w:b/>
        </w:rPr>
        <w:t>ąc stawkę</w:t>
      </w:r>
      <w:r w:rsidR="00FF161A" w:rsidRPr="00EC63BF">
        <w:rPr>
          <w:b/>
        </w:rPr>
        <w:t xml:space="preserve"> przez liczbę uczestników szkolenia?</w:t>
      </w:r>
    </w:p>
    <w:p w:rsidR="00745052" w:rsidRDefault="00A55498" w:rsidP="00D1049A">
      <w:pPr>
        <w:jc w:val="both"/>
      </w:pPr>
      <w:r>
        <w:t>Nie,</w:t>
      </w:r>
      <w:r w:rsidR="00EC63BF" w:rsidRPr="0095138B">
        <w:t xml:space="preserve"> </w:t>
      </w:r>
      <w:r>
        <w:rPr>
          <w:sz w:val="23"/>
          <w:szCs w:val="23"/>
        </w:rPr>
        <w:t>w ramach przedmiotowego konkursu, IOK nie dopuszcza możliwości stosowania w projektach stawek jednostkowych (z</w:t>
      </w:r>
      <w:r w:rsidRPr="003748F0">
        <w:rPr>
          <w:sz w:val="23"/>
          <w:szCs w:val="23"/>
        </w:rPr>
        <w:t xml:space="preserve">godnie z punktem </w:t>
      </w:r>
      <w:r w:rsidRPr="003748F0">
        <w:rPr>
          <w:bCs/>
          <w:sz w:val="23"/>
          <w:szCs w:val="23"/>
        </w:rPr>
        <w:t>6.1.10  regulaminu konkursu</w:t>
      </w:r>
      <w:r>
        <w:rPr>
          <w:bCs/>
          <w:sz w:val="23"/>
          <w:szCs w:val="23"/>
        </w:rPr>
        <w:t>)</w:t>
      </w:r>
      <w:r>
        <w:rPr>
          <w:sz w:val="23"/>
          <w:szCs w:val="23"/>
        </w:rPr>
        <w:t xml:space="preserve">. </w:t>
      </w:r>
      <w:r w:rsidR="00EC63BF" w:rsidRPr="0095138B">
        <w:t xml:space="preserve">Stawki w taryfikatorze </w:t>
      </w:r>
      <w:r w:rsidR="00EC63BF" w:rsidRPr="00745052">
        <w:rPr>
          <w:bCs/>
        </w:rPr>
        <w:t>nie stanowią stawek jednostkowych</w:t>
      </w:r>
      <w:r w:rsidR="00EC63BF" w:rsidRPr="0095138B">
        <w:t xml:space="preserve">, w takim rozumieniu, w jakim były one używane w ramach poprzedniej perspektywy finansowej 2007 – 2013. </w:t>
      </w:r>
    </w:p>
    <w:p w:rsidR="00745052" w:rsidRDefault="00745052" w:rsidP="00D1049A">
      <w:pPr>
        <w:jc w:val="both"/>
      </w:pPr>
    </w:p>
    <w:p w:rsidR="00745052" w:rsidRPr="00745052" w:rsidRDefault="00745052" w:rsidP="00D1049A">
      <w:pPr>
        <w:jc w:val="both"/>
        <w:rPr>
          <w:b/>
        </w:rPr>
      </w:pPr>
      <w:r w:rsidRPr="00745052">
        <w:rPr>
          <w:b/>
        </w:rPr>
        <w:t>Czy stawki wskazane w taryfikatorze cen rynkowych, stanowiącym załącznik do regulaminu konkursu, są maksymalnymi dopuszczalnymi stawkami?</w:t>
      </w:r>
    </w:p>
    <w:p w:rsidR="00EC63BF" w:rsidRPr="0095138B" w:rsidRDefault="00745052" w:rsidP="00D1049A">
      <w:pPr>
        <w:jc w:val="both"/>
      </w:pPr>
      <w:r>
        <w:t xml:space="preserve">Nie. </w:t>
      </w:r>
      <w:r w:rsidR="00EC63BF" w:rsidRPr="0095138B">
        <w:t xml:space="preserve">Taryfikator nie jest sztywno ustalonym katalogiem wydatków. Ma on charakter pomocniczy, natomiast wydatki budżetowe są </w:t>
      </w:r>
      <w:r w:rsidR="00EC63BF" w:rsidRPr="007066A3">
        <w:rPr>
          <w:bCs/>
        </w:rPr>
        <w:t>zawsze</w:t>
      </w:r>
      <w:r w:rsidR="00EC63BF" w:rsidRPr="0095138B">
        <w:t xml:space="preserve"> oceniane w kontekście treści projektu, przede wszystkim opisu zadań. Tak więc zastosowanie maksymalnych stawek </w:t>
      </w:r>
      <w:r w:rsidR="007066A3">
        <w:t>z taryfikatora</w:t>
      </w:r>
      <w:r w:rsidR="00EC63BF" w:rsidRPr="0095138B">
        <w:t xml:space="preserve"> nie jest przesłanką świadczącą o prawidłowej konstrukcji projektu. Z drugiej strony zastosowanie stawek wyższych, pod warunkiem odpowiedniego ich uzasadnienia, może być ocenione pozytywnie.</w:t>
      </w:r>
    </w:p>
    <w:p w:rsidR="00D3389C" w:rsidRDefault="00D3389C" w:rsidP="00D1049A">
      <w:pPr>
        <w:jc w:val="both"/>
        <w:rPr>
          <w:b/>
        </w:rPr>
      </w:pPr>
    </w:p>
    <w:p w:rsidR="00456BAC" w:rsidRPr="00956D59" w:rsidRDefault="00456BAC" w:rsidP="00D1049A">
      <w:pPr>
        <w:jc w:val="both"/>
        <w:rPr>
          <w:b/>
        </w:rPr>
      </w:pPr>
      <w:r w:rsidRPr="00956D59">
        <w:rPr>
          <w:b/>
        </w:rPr>
        <w:t>Czy wkład własny do projektu może wnieść przedsiębiorca</w:t>
      </w:r>
      <w:r w:rsidR="00D1049A">
        <w:rPr>
          <w:b/>
        </w:rPr>
        <w:t>, który nie występuje w projekcie jako partner?</w:t>
      </w:r>
      <w:r w:rsidRPr="00956D59">
        <w:rPr>
          <w:b/>
        </w:rPr>
        <w:t xml:space="preserve"> </w:t>
      </w:r>
    </w:p>
    <w:p w:rsidR="003C2082" w:rsidRDefault="00456BAC" w:rsidP="00D1049A">
      <w:pPr>
        <w:jc w:val="both"/>
      </w:pPr>
      <w:r>
        <w:t>Tak, wkład własny do projektu może wnieść lider lub partner lub strona trzecia nie będąca realizatorem projektu.</w:t>
      </w:r>
    </w:p>
    <w:p w:rsidR="00D75C6C" w:rsidRDefault="00D75C6C" w:rsidP="00D1049A">
      <w:pPr>
        <w:jc w:val="both"/>
      </w:pPr>
    </w:p>
    <w:p w:rsidR="00D75C6C" w:rsidRPr="00F56C5A" w:rsidRDefault="00D75C6C" w:rsidP="00D1049A">
      <w:pPr>
        <w:jc w:val="both"/>
        <w:rPr>
          <w:b/>
        </w:rPr>
      </w:pPr>
      <w:r w:rsidRPr="00F56C5A">
        <w:rPr>
          <w:b/>
        </w:rPr>
        <w:t>Czy wkład przedsiębiorców w staże/praktyki powinien być wpisany w budżet projektu jako pozycja budżetowa, czy może widnieć wyłącznie w źródłach finansowania?</w:t>
      </w:r>
    </w:p>
    <w:p w:rsidR="00D75C6C" w:rsidRPr="00D75C6C" w:rsidRDefault="00D75C6C" w:rsidP="00D1049A">
      <w:pPr>
        <w:spacing w:after="0" w:line="240" w:lineRule="auto"/>
        <w:jc w:val="both"/>
        <w:rPr>
          <w:rFonts w:ascii="Calibri" w:hAnsi="Calibri"/>
        </w:rPr>
      </w:pPr>
      <w:r>
        <w:rPr>
          <w:rFonts w:ascii="Calibri" w:hAnsi="Calibri"/>
        </w:rPr>
        <w:t xml:space="preserve">Wkład własny powinien </w:t>
      </w:r>
      <w:r w:rsidR="00F56C5A">
        <w:rPr>
          <w:rFonts w:ascii="Calibri" w:hAnsi="Calibri"/>
        </w:rPr>
        <w:t xml:space="preserve">zostać wpisany w budżet projektu. Dodatkowo powinien on zostać ujęty </w:t>
      </w:r>
      <w:r w:rsidRPr="00D75C6C">
        <w:rPr>
          <w:rFonts w:ascii="Calibri" w:hAnsi="Calibri"/>
        </w:rPr>
        <w:t xml:space="preserve">również w </w:t>
      </w:r>
      <w:r w:rsidR="00F56C5A">
        <w:rPr>
          <w:rFonts w:ascii="Calibri" w:hAnsi="Calibri"/>
        </w:rPr>
        <w:t>„</w:t>
      </w:r>
      <w:r w:rsidRPr="00D75C6C">
        <w:rPr>
          <w:rFonts w:ascii="Calibri" w:hAnsi="Calibri"/>
        </w:rPr>
        <w:t>źródłach finansowania</w:t>
      </w:r>
      <w:r w:rsidR="00F56C5A">
        <w:rPr>
          <w:rFonts w:ascii="Calibri" w:hAnsi="Calibri"/>
        </w:rPr>
        <w:t xml:space="preserve"> wydatków” (część VIII w generatorze wniosków)</w:t>
      </w:r>
      <w:r w:rsidRPr="00D75C6C">
        <w:rPr>
          <w:rFonts w:ascii="Calibri" w:hAnsi="Calibri"/>
        </w:rPr>
        <w:t xml:space="preserve"> jako wkład prywatny.</w:t>
      </w:r>
    </w:p>
    <w:p w:rsidR="00D75C6C" w:rsidRPr="00D3389C" w:rsidRDefault="00D3389C" w:rsidP="00D1049A">
      <w:pPr>
        <w:jc w:val="both"/>
        <w:rPr>
          <w:b/>
        </w:rPr>
      </w:pPr>
      <w:r w:rsidRPr="00D3389C">
        <w:rPr>
          <w:b/>
        </w:rPr>
        <w:lastRenderedPageBreak/>
        <w:t>Czy projekty o wartości poniżej 100 000 EUR muszą być rozliczane ryczałtem?</w:t>
      </w:r>
    </w:p>
    <w:p w:rsidR="00D3389C" w:rsidRPr="003748F0" w:rsidRDefault="00A55498" w:rsidP="00D1049A">
      <w:pPr>
        <w:jc w:val="both"/>
      </w:pPr>
      <w:r>
        <w:rPr>
          <w:sz w:val="23"/>
          <w:szCs w:val="23"/>
        </w:rPr>
        <w:t xml:space="preserve">Tak. </w:t>
      </w:r>
      <w:r w:rsidR="003748F0" w:rsidRPr="003748F0">
        <w:rPr>
          <w:sz w:val="23"/>
          <w:szCs w:val="23"/>
        </w:rPr>
        <w:t xml:space="preserve">Zgodnie z punktem </w:t>
      </w:r>
      <w:r w:rsidR="003748F0" w:rsidRPr="003748F0">
        <w:rPr>
          <w:bCs/>
          <w:sz w:val="23"/>
          <w:szCs w:val="23"/>
        </w:rPr>
        <w:t xml:space="preserve">6.1.10  regulaminu konkursu </w:t>
      </w:r>
      <w:r w:rsidRPr="003748F0">
        <w:rPr>
          <w:sz w:val="23"/>
          <w:szCs w:val="23"/>
        </w:rPr>
        <w:t>kwoty ryczałtowe</w:t>
      </w:r>
      <w:r w:rsidRPr="003748F0">
        <w:rPr>
          <w:bCs/>
          <w:sz w:val="23"/>
          <w:szCs w:val="23"/>
        </w:rPr>
        <w:t xml:space="preserve"> </w:t>
      </w:r>
      <w:r w:rsidRPr="003748F0">
        <w:rPr>
          <w:sz w:val="23"/>
          <w:szCs w:val="23"/>
        </w:rPr>
        <w:t>należy zastosować obligatoryjnie</w:t>
      </w:r>
      <w:r w:rsidRPr="003748F0">
        <w:rPr>
          <w:bCs/>
          <w:sz w:val="23"/>
          <w:szCs w:val="23"/>
        </w:rPr>
        <w:t xml:space="preserve"> </w:t>
      </w:r>
      <w:r w:rsidR="003748F0" w:rsidRPr="003748F0">
        <w:rPr>
          <w:bCs/>
          <w:sz w:val="23"/>
          <w:szCs w:val="23"/>
        </w:rPr>
        <w:t>w</w:t>
      </w:r>
      <w:r w:rsidR="003748F0" w:rsidRPr="003748F0">
        <w:rPr>
          <w:sz w:val="23"/>
          <w:szCs w:val="23"/>
        </w:rPr>
        <w:t xml:space="preserve"> projektach, </w:t>
      </w:r>
      <w:r w:rsidR="00265EE6">
        <w:rPr>
          <w:sz w:val="23"/>
          <w:szCs w:val="23"/>
        </w:rPr>
        <w:t xml:space="preserve">w </w:t>
      </w:r>
      <w:r w:rsidR="003748F0" w:rsidRPr="003748F0">
        <w:rPr>
          <w:sz w:val="23"/>
          <w:szCs w:val="23"/>
        </w:rPr>
        <w:t xml:space="preserve">których wartość wkładu publicznego (środków publicznych) nie przekracza wyrażonej w </w:t>
      </w:r>
      <w:r>
        <w:rPr>
          <w:sz w:val="23"/>
          <w:szCs w:val="23"/>
        </w:rPr>
        <w:t>złotych</w:t>
      </w:r>
      <w:r w:rsidR="003748F0" w:rsidRPr="003748F0">
        <w:rPr>
          <w:sz w:val="23"/>
          <w:szCs w:val="23"/>
        </w:rPr>
        <w:t xml:space="preserve"> równowartości 100.000 </w:t>
      </w:r>
      <w:r>
        <w:rPr>
          <w:sz w:val="23"/>
          <w:szCs w:val="23"/>
        </w:rPr>
        <w:t>euro, zgodnie z kursem euro obowiązującym na dzień ogłoszenia konkursu</w:t>
      </w:r>
      <w:r w:rsidR="003748F0" w:rsidRPr="003748F0">
        <w:rPr>
          <w:sz w:val="23"/>
          <w:szCs w:val="23"/>
        </w:rPr>
        <w:t>.</w:t>
      </w:r>
      <w:r>
        <w:rPr>
          <w:sz w:val="23"/>
          <w:szCs w:val="23"/>
        </w:rPr>
        <w:t xml:space="preserve"> W aktualnym konkursie k</w:t>
      </w:r>
      <w:r w:rsidR="003748F0" w:rsidRPr="003748F0">
        <w:rPr>
          <w:bCs/>
          <w:sz w:val="23"/>
          <w:szCs w:val="23"/>
        </w:rPr>
        <w:t xml:space="preserve">urs </w:t>
      </w:r>
      <w:r>
        <w:rPr>
          <w:bCs/>
          <w:sz w:val="23"/>
          <w:szCs w:val="23"/>
        </w:rPr>
        <w:t>euro</w:t>
      </w:r>
      <w:r w:rsidR="003748F0" w:rsidRPr="003748F0">
        <w:rPr>
          <w:bCs/>
          <w:sz w:val="23"/>
          <w:szCs w:val="23"/>
        </w:rPr>
        <w:t xml:space="preserve"> </w:t>
      </w:r>
      <w:r>
        <w:rPr>
          <w:bCs/>
          <w:sz w:val="23"/>
          <w:szCs w:val="23"/>
        </w:rPr>
        <w:t>wynosi 4,331 złotych.</w:t>
      </w:r>
      <w:r w:rsidR="00D1049A">
        <w:rPr>
          <w:bCs/>
          <w:sz w:val="23"/>
          <w:szCs w:val="23"/>
        </w:rPr>
        <w:t xml:space="preserve"> Obowiązek stosowania kwot ryczałtowych dotyczy wszystkich podmiotów, bez względu na status podmiotu aplikującego.</w:t>
      </w:r>
    </w:p>
    <w:p w:rsidR="00961E27" w:rsidRDefault="00961E27" w:rsidP="00D1049A">
      <w:pPr>
        <w:pStyle w:val="Default"/>
        <w:jc w:val="both"/>
        <w:rPr>
          <w:rFonts w:asciiTheme="minorHAnsi" w:hAnsiTheme="minorHAnsi" w:cstheme="minorBidi"/>
          <w:b/>
          <w:color w:val="auto"/>
          <w:sz w:val="22"/>
          <w:szCs w:val="22"/>
        </w:rPr>
      </w:pPr>
    </w:p>
    <w:p w:rsidR="00F56C5A" w:rsidRPr="00961E27" w:rsidRDefault="00F56C5A" w:rsidP="00D1049A">
      <w:pPr>
        <w:pStyle w:val="Default"/>
        <w:spacing w:after="160"/>
        <w:jc w:val="both"/>
        <w:rPr>
          <w:rFonts w:asciiTheme="minorHAnsi" w:hAnsiTheme="minorHAnsi" w:cstheme="minorBidi"/>
          <w:b/>
          <w:color w:val="auto"/>
          <w:sz w:val="22"/>
          <w:szCs w:val="22"/>
        </w:rPr>
      </w:pPr>
      <w:r w:rsidRPr="00961E27">
        <w:rPr>
          <w:rFonts w:asciiTheme="minorHAnsi" w:hAnsiTheme="minorHAnsi" w:cstheme="minorBidi"/>
          <w:b/>
          <w:color w:val="auto"/>
          <w:sz w:val="22"/>
          <w:szCs w:val="22"/>
        </w:rPr>
        <w:t>Jak należy interpretować</w:t>
      </w:r>
      <w:r w:rsidR="00961E27">
        <w:rPr>
          <w:rFonts w:asciiTheme="minorHAnsi" w:hAnsiTheme="minorHAnsi" w:cstheme="minorBidi"/>
          <w:b/>
          <w:color w:val="auto"/>
          <w:sz w:val="22"/>
          <w:szCs w:val="22"/>
        </w:rPr>
        <w:t xml:space="preserve"> pierwsze</w:t>
      </w:r>
      <w:r w:rsidRPr="00961E27">
        <w:rPr>
          <w:rFonts w:asciiTheme="minorHAnsi" w:hAnsiTheme="minorHAnsi" w:cstheme="minorBidi"/>
          <w:b/>
          <w:color w:val="auto"/>
          <w:sz w:val="22"/>
          <w:szCs w:val="22"/>
        </w:rPr>
        <w:t xml:space="preserve"> kryterium premiujące 8.5.1 </w:t>
      </w:r>
      <w:r w:rsidR="00961E27" w:rsidRPr="00961E27">
        <w:rPr>
          <w:rFonts w:asciiTheme="minorHAnsi" w:hAnsiTheme="minorHAnsi" w:cstheme="minorBidi"/>
          <w:b/>
          <w:color w:val="auto"/>
          <w:sz w:val="22"/>
          <w:szCs w:val="22"/>
        </w:rPr>
        <w:t>„</w:t>
      </w:r>
      <w:r w:rsidR="00B47B21" w:rsidRPr="00961E27">
        <w:rPr>
          <w:rFonts w:asciiTheme="minorHAnsi" w:hAnsiTheme="minorHAnsi" w:cstheme="minorBidi"/>
          <w:b/>
          <w:color w:val="auto"/>
          <w:sz w:val="22"/>
          <w:szCs w:val="22"/>
        </w:rPr>
        <w:t xml:space="preserve">Projekt zakłada różne formy wsparcia dla nauczycieli/instruktorów praktycznej nauki zawodu, </w:t>
      </w:r>
      <w:r w:rsidR="00265EE6">
        <w:rPr>
          <w:rFonts w:asciiTheme="minorHAnsi" w:hAnsiTheme="minorHAnsi" w:cstheme="minorBidi"/>
          <w:b/>
          <w:color w:val="auto"/>
          <w:sz w:val="22"/>
          <w:szCs w:val="22"/>
        </w:rPr>
        <w:t>prowadzące do zdobycia wiedzy i </w:t>
      </w:r>
      <w:r w:rsidR="00B47B21" w:rsidRPr="00961E27">
        <w:rPr>
          <w:rFonts w:asciiTheme="minorHAnsi" w:hAnsiTheme="minorHAnsi" w:cstheme="minorBidi"/>
          <w:b/>
          <w:color w:val="auto"/>
          <w:sz w:val="22"/>
          <w:szCs w:val="22"/>
        </w:rPr>
        <w:t>umiejętności z zakresu inteligentnych i horyzontalnych specjalizacji województwa świę</w:t>
      </w:r>
      <w:r w:rsidR="00961E27" w:rsidRPr="00961E27">
        <w:rPr>
          <w:rFonts w:asciiTheme="minorHAnsi" w:hAnsiTheme="minorHAnsi" w:cstheme="minorBidi"/>
          <w:b/>
          <w:color w:val="auto"/>
          <w:sz w:val="22"/>
          <w:szCs w:val="22"/>
        </w:rPr>
        <w:t>tokrzyskiego”</w:t>
      </w:r>
      <w:r w:rsidR="00961E27">
        <w:rPr>
          <w:rFonts w:asciiTheme="minorHAnsi" w:hAnsiTheme="minorHAnsi" w:cstheme="minorBidi"/>
          <w:b/>
          <w:color w:val="auto"/>
          <w:sz w:val="22"/>
          <w:szCs w:val="22"/>
        </w:rPr>
        <w:t xml:space="preserve">. </w:t>
      </w:r>
      <w:r w:rsidRPr="00961E27">
        <w:rPr>
          <w:rFonts w:asciiTheme="minorHAnsi" w:hAnsiTheme="minorHAnsi" w:cstheme="minorBidi"/>
          <w:b/>
          <w:color w:val="auto"/>
          <w:sz w:val="22"/>
          <w:szCs w:val="22"/>
        </w:rPr>
        <w:t xml:space="preserve">Czy kryterium to zostanie spełnione jeżeli zaplanujemy </w:t>
      </w:r>
      <w:r w:rsidR="00961E27" w:rsidRPr="00961E27">
        <w:rPr>
          <w:rFonts w:asciiTheme="minorHAnsi" w:hAnsiTheme="minorHAnsi" w:cstheme="minorBidi"/>
          <w:b/>
          <w:color w:val="auto"/>
          <w:sz w:val="22"/>
          <w:szCs w:val="22"/>
        </w:rPr>
        <w:t>różne formy wsparcia</w:t>
      </w:r>
      <w:r w:rsidR="00265EE6">
        <w:rPr>
          <w:rFonts w:asciiTheme="minorHAnsi" w:hAnsiTheme="minorHAnsi" w:cstheme="minorBidi"/>
          <w:b/>
          <w:color w:val="auto"/>
          <w:sz w:val="22"/>
          <w:szCs w:val="22"/>
        </w:rPr>
        <w:t xml:space="preserve"> w </w:t>
      </w:r>
      <w:r w:rsidRPr="00961E27">
        <w:rPr>
          <w:rFonts w:asciiTheme="minorHAnsi" w:hAnsiTheme="minorHAnsi" w:cstheme="minorBidi"/>
          <w:b/>
          <w:color w:val="auto"/>
          <w:sz w:val="22"/>
          <w:szCs w:val="22"/>
        </w:rPr>
        <w:t>jednej z</w:t>
      </w:r>
      <w:r w:rsidR="00961E27">
        <w:rPr>
          <w:rFonts w:asciiTheme="minorHAnsi" w:hAnsiTheme="minorHAnsi" w:cstheme="minorBidi"/>
          <w:b/>
          <w:color w:val="auto"/>
          <w:sz w:val="22"/>
          <w:szCs w:val="22"/>
        </w:rPr>
        <w:t>e</w:t>
      </w:r>
      <w:r w:rsidRPr="00961E27">
        <w:rPr>
          <w:rFonts w:asciiTheme="minorHAnsi" w:hAnsiTheme="minorHAnsi" w:cstheme="minorBidi"/>
          <w:b/>
          <w:color w:val="auto"/>
          <w:sz w:val="22"/>
          <w:szCs w:val="22"/>
        </w:rPr>
        <w:t xml:space="preserve"> wskazanych specjalizacji?</w:t>
      </w:r>
    </w:p>
    <w:p w:rsidR="00F56C5A" w:rsidRDefault="00F56C5A" w:rsidP="00D1049A">
      <w:pPr>
        <w:jc w:val="both"/>
      </w:pPr>
      <w:r>
        <w:t>Tak</w:t>
      </w:r>
      <w:r w:rsidR="00210EAF">
        <w:t>.</w:t>
      </w:r>
      <w:r>
        <w:t xml:space="preserve"> </w:t>
      </w:r>
      <w:r w:rsidR="00961E27">
        <w:t xml:space="preserve">Kryterium ma na celu wzmacnianie kadr </w:t>
      </w:r>
      <w:r w:rsidR="00961E27" w:rsidRPr="00961E27">
        <w:t>z zakresu inteligentnych i horyzontalnych specjalizacji województwa świętokrzyskiego</w:t>
      </w:r>
      <w:r w:rsidR="00210EAF">
        <w:t xml:space="preserve">, nie wymusza jednak aby </w:t>
      </w:r>
      <w:r w:rsidR="00961E27">
        <w:t xml:space="preserve">każdy </w:t>
      </w:r>
      <w:r w:rsidR="00210EAF">
        <w:t>projekt przewidywał wsparcie w każdej specjalizacji</w:t>
      </w:r>
      <w:r w:rsidR="00210EAF" w:rsidRPr="00210EAF">
        <w:t xml:space="preserve"> </w:t>
      </w:r>
      <w:r w:rsidR="00210EAF">
        <w:t>albo</w:t>
      </w:r>
      <w:r w:rsidR="00210EAF" w:rsidRPr="00210EAF">
        <w:t xml:space="preserve"> </w:t>
      </w:r>
      <w:r w:rsidR="00210EAF">
        <w:t>aby każdy uczestnik podnosił/zdobywał kompetencje i kwalifikacje w wielu specjalizacjach.</w:t>
      </w:r>
    </w:p>
    <w:p w:rsidR="00956D59" w:rsidRDefault="00956D59" w:rsidP="00D1049A">
      <w:pPr>
        <w:jc w:val="both"/>
        <w:rPr>
          <w:b/>
        </w:rPr>
      </w:pPr>
    </w:p>
    <w:p w:rsidR="00961E27" w:rsidRPr="00F10F36" w:rsidRDefault="00961E27" w:rsidP="00D1049A">
      <w:pPr>
        <w:jc w:val="both"/>
        <w:rPr>
          <w:b/>
        </w:rPr>
      </w:pPr>
      <w:r>
        <w:rPr>
          <w:b/>
        </w:rPr>
        <w:t xml:space="preserve">Pytanie dotyczy drugiego kryterium premiującego. </w:t>
      </w:r>
      <w:r w:rsidR="00D1049A">
        <w:rPr>
          <w:b/>
        </w:rPr>
        <w:t>Czy podstawę</w:t>
      </w:r>
      <w:r w:rsidRPr="00F10F36">
        <w:rPr>
          <w:b/>
        </w:rPr>
        <w:t xml:space="preserve"> wyliczenia 5</w:t>
      </w:r>
      <w:r>
        <w:rPr>
          <w:b/>
        </w:rPr>
        <w:t xml:space="preserve"> % udziału</w:t>
      </w:r>
      <w:r w:rsidRPr="00F10F36">
        <w:rPr>
          <w:b/>
        </w:rPr>
        <w:t xml:space="preserve"> pracodawcy w kosztach organizacji stażu/praktyki </w:t>
      </w:r>
      <w:r w:rsidR="00D1049A">
        <w:rPr>
          <w:b/>
        </w:rPr>
        <w:t>stanowi</w:t>
      </w:r>
      <w:r>
        <w:rPr>
          <w:b/>
        </w:rPr>
        <w:t xml:space="preserve"> wysokość </w:t>
      </w:r>
      <w:r w:rsidRPr="00F10F36">
        <w:rPr>
          <w:b/>
        </w:rPr>
        <w:t xml:space="preserve">stypendium czy  </w:t>
      </w:r>
      <w:r>
        <w:rPr>
          <w:b/>
        </w:rPr>
        <w:t xml:space="preserve">wartość </w:t>
      </w:r>
      <w:r w:rsidRPr="00F10F36">
        <w:rPr>
          <w:b/>
        </w:rPr>
        <w:t>wszystki</w:t>
      </w:r>
      <w:r>
        <w:rPr>
          <w:b/>
        </w:rPr>
        <w:t>ch</w:t>
      </w:r>
      <w:r w:rsidRPr="00F10F36">
        <w:rPr>
          <w:b/>
        </w:rPr>
        <w:t xml:space="preserve"> koszt</w:t>
      </w:r>
      <w:r>
        <w:rPr>
          <w:b/>
        </w:rPr>
        <w:t>ów związanych z</w:t>
      </w:r>
      <w:r w:rsidRPr="00F10F36">
        <w:rPr>
          <w:b/>
        </w:rPr>
        <w:t xml:space="preserve"> organizacj</w:t>
      </w:r>
      <w:r>
        <w:rPr>
          <w:b/>
        </w:rPr>
        <w:t>ą</w:t>
      </w:r>
      <w:r w:rsidRPr="00F10F36">
        <w:rPr>
          <w:b/>
        </w:rPr>
        <w:t xml:space="preserve"> stażu/praktyki?</w:t>
      </w:r>
    </w:p>
    <w:p w:rsidR="00961E27" w:rsidRDefault="00961E27" w:rsidP="00D1049A">
      <w:pPr>
        <w:jc w:val="both"/>
      </w:pPr>
      <w:r>
        <w:t>Wyliczając 5-procentowy udział pracodawcy n</w:t>
      </w:r>
      <w:r w:rsidRPr="0095138B">
        <w:t xml:space="preserve">ależy brać pod uwagę </w:t>
      </w:r>
      <w:r w:rsidR="00265EE6">
        <w:t>całościowe koszty organizacji i </w:t>
      </w:r>
      <w:r w:rsidRPr="0095138B">
        <w:t>prowadzenia staży/praktyk</w:t>
      </w:r>
      <w:r>
        <w:t>, w tym np.: koszty odzieży roboczej, dojazdy, stypendium. Wszystkie wydatki związane z organizacją stażu/praktyki powinny zostać ujęte w budżecie projektu. Koszty, które będą ponoszone przez przedsiębiorcę należy zaznaczyć jako „wkład własny” do projektu.</w:t>
      </w:r>
    </w:p>
    <w:p w:rsidR="00A42D46" w:rsidRDefault="00A42D46" w:rsidP="00D1049A">
      <w:pPr>
        <w:jc w:val="both"/>
      </w:pPr>
    </w:p>
    <w:p w:rsidR="00A42D46" w:rsidRDefault="00A42D46" w:rsidP="00D1049A">
      <w:pPr>
        <w:jc w:val="both"/>
        <w:rPr>
          <w:b/>
        </w:rPr>
      </w:pPr>
      <w:r w:rsidRPr="00A42D46">
        <w:rPr>
          <w:b/>
        </w:rPr>
        <w:t>Czy w ramach konkursu można realizować kurs języka angielskiego zakończony certyfikatem. Jeśli tak</w:t>
      </w:r>
      <w:r w:rsidR="00D1049A">
        <w:rPr>
          <w:b/>
        </w:rPr>
        <w:t>,</w:t>
      </w:r>
      <w:r w:rsidRPr="00A42D46">
        <w:rPr>
          <w:b/>
        </w:rPr>
        <w:t xml:space="preserve"> to w który typ projektu należy </w:t>
      </w:r>
      <w:r>
        <w:rPr>
          <w:b/>
        </w:rPr>
        <w:t>go ująć?</w:t>
      </w:r>
      <w:r w:rsidRPr="00A42D46">
        <w:rPr>
          <w:b/>
        </w:rPr>
        <w:t xml:space="preserve"> </w:t>
      </w:r>
    </w:p>
    <w:p w:rsidR="00A42D46" w:rsidRPr="00D1049A" w:rsidRDefault="00A42D46" w:rsidP="00D1049A">
      <w:pPr>
        <w:jc w:val="both"/>
      </w:pPr>
      <w:r w:rsidRPr="00D1049A">
        <w:t xml:space="preserve">W </w:t>
      </w:r>
      <w:r w:rsidR="00601789">
        <w:t>w</w:t>
      </w:r>
      <w:r w:rsidRPr="00D1049A">
        <w:t>ytycznych dotyczących edukacji wskazany jest katalog otwarty dotyczący możliwości realizacji</w:t>
      </w:r>
      <w:r w:rsidR="00B833DB" w:rsidRPr="00D1049A">
        <w:t xml:space="preserve"> różnych form wsparcia. </w:t>
      </w:r>
      <w:r w:rsidRPr="00D1049A">
        <w:t>Co do przypisan</w:t>
      </w:r>
      <w:r w:rsidR="00B833DB" w:rsidRPr="00D1049A">
        <w:t>ia kuru językowego do konkretnego typu operacji</w:t>
      </w:r>
      <w:r w:rsidRPr="00D1049A">
        <w:t xml:space="preserve"> </w:t>
      </w:r>
      <w:r w:rsidR="00B833DB" w:rsidRPr="00D1049A">
        <w:t xml:space="preserve">to </w:t>
      </w:r>
      <w:r w:rsidRPr="00D1049A">
        <w:t>nie musi być to podnoszenie kompetencji kluczowych (</w:t>
      </w:r>
      <w:r w:rsidR="00C55834">
        <w:t>7 typ operacji</w:t>
      </w:r>
      <w:r w:rsidRPr="00D1049A">
        <w:t>).</w:t>
      </w:r>
      <w:r w:rsidR="00B833DB" w:rsidRPr="00D1049A">
        <w:t xml:space="preserve"> Może natomiast być to kurs uzupełniający, który można realizować</w:t>
      </w:r>
      <w:r w:rsidR="00C55834">
        <w:t xml:space="preserve"> w 3 typie operacji</w:t>
      </w:r>
      <w:r w:rsidR="00B833DB" w:rsidRPr="00D1049A">
        <w:t>.</w:t>
      </w:r>
      <w:r w:rsidR="00B833DB">
        <w:t xml:space="preserve"> </w:t>
      </w:r>
      <w:bookmarkStart w:id="0" w:name="_GoBack"/>
      <w:r w:rsidR="00E379CE" w:rsidRPr="00E379CE">
        <w:rPr>
          <w:u w:val="single"/>
        </w:rPr>
        <w:t xml:space="preserve">Warto dodać, że planując realizację </w:t>
      </w:r>
      <w:r w:rsidR="00E379CE" w:rsidRPr="00E379CE">
        <w:rPr>
          <w:sz w:val="23"/>
          <w:szCs w:val="23"/>
          <w:u w:val="single"/>
        </w:rPr>
        <w:t xml:space="preserve">szkoleń/kursów </w:t>
      </w:r>
      <w:r w:rsidR="00E379CE" w:rsidRPr="001949E7">
        <w:rPr>
          <w:b/>
          <w:sz w:val="23"/>
          <w:szCs w:val="23"/>
          <w:u w:val="single"/>
        </w:rPr>
        <w:t>zawodowych</w:t>
      </w:r>
      <w:r w:rsidR="003E08DE">
        <w:rPr>
          <w:sz w:val="23"/>
          <w:szCs w:val="23"/>
          <w:u w:val="single"/>
        </w:rPr>
        <w:t xml:space="preserve"> (ich efektem powinny być</w:t>
      </w:r>
      <w:r w:rsidR="00E379CE" w:rsidRPr="00E379CE">
        <w:rPr>
          <w:sz w:val="23"/>
          <w:szCs w:val="23"/>
          <w:u w:val="single"/>
        </w:rPr>
        <w:t xml:space="preserve"> </w:t>
      </w:r>
      <w:r w:rsidR="003E08DE">
        <w:rPr>
          <w:sz w:val="23"/>
          <w:szCs w:val="23"/>
          <w:u w:val="single"/>
        </w:rPr>
        <w:t>certyfikaty</w:t>
      </w:r>
      <w:r w:rsidR="00E379CE" w:rsidRPr="00E379CE">
        <w:rPr>
          <w:sz w:val="23"/>
          <w:szCs w:val="23"/>
          <w:u w:val="single"/>
        </w:rPr>
        <w:t xml:space="preserve"> bądź uprawnie</w:t>
      </w:r>
      <w:r w:rsidR="003E08DE">
        <w:rPr>
          <w:sz w:val="23"/>
          <w:szCs w:val="23"/>
          <w:u w:val="single"/>
        </w:rPr>
        <w:t>nia</w:t>
      </w:r>
      <w:r w:rsidR="00E379CE" w:rsidRPr="00E379CE">
        <w:rPr>
          <w:sz w:val="23"/>
          <w:szCs w:val="23"/>
          <w:u w:val="single"/>
        </w:rPr>
        <w:t xml:space="preserve"> niezbędn</w:t>
      </w:r>
      <w:r w:rsidR="003E08DE">
        <w:rPr>
          <w:sz w:val="23"/>
          <w:szCs w:val="23"/>
          <w:u w:val="single"/>
        </w:rPr>
        <w:t>e</w:t>
      </w:r>
      <w:r w:rsidR="00E379CE" w:rsidRPr="00E379CE">
        <w:rPr>
          <w:sz w:val="23"/>
          <w:szCs w:val="23"/>
          <w:u w:val="single"/>
        </w:rPr>
        <w:t xml:space="preserve"> do wykonywania konkretne</w:t>
      </w:r>
      <w:r w:rsidR="00E379CE">
        <w:rPr>
          <w:sz w:val="23"/>
          <w:szCs w:val="23"/>
          <w:u w:val="single"/>
        </w:rPr>
        <w:t>go zawodu</w:t>
      </w:r>
      <w:r w:rsidR="003E08DE">
        <w:rPr>
          <w:sz w:val="23"/>
          <w:szCs w:val="23"/>
          <w:u w:val="single"/>
        </w:rPr>
        <w:t>)</w:t>
      </w:r>
      <w:r w:rsidR="00E379CE" w:rsidRPr="00E379CE">
        <w:rPr>
          <w:sz w:val="23"/>
          <w:szCs w:val="23"/>
          <w:u w:val="single"/>
        </w:rPr>
        <w:t xml:space="preserve"> </w:t>
      </w:r>
      <w:r w:rsidR="00E379CE" w:rsidRPr="00E379CE">
        <w:rPr>
          <w:sz w:val="23"/>
          <w:szCs w:val="23"/>
          <w:u w:val="single"/>
        </w:rPr>
        <w:t>powinni Państwo</w:t>
      </w:r>
      <w:r w:rsidR="00265EE6">
        <w:rPr>
          <w:sz w:val="23"/>
          <w:szCs w:val="23"/>
          <w:u w:val="single"/>
        </w:rPr>
        <w:t xml:space="preserve"> je</w:t>
      </w:r>
      <w:r w:rsidR="00E379CE" w:rsidRPr="00E379CE">
        <w:rPr>
          <w:sz w:val="23"/>
          <w:szCs w:val="23"/>
          <w:u w:val="single"/>
        </w:rPr>
        <w:t xml:space="preserve"> </w:t>
      </w:r>
      <w:r w:rsidR="0040043A">
        <w:rPr>
          <w:sz w:val="23"/>
          <w:szCs w:val="23"/>
          <w:u w:val="single"/>
        </w:rPr>
        <w:t>zaplanować</w:t>
      </w:r>
      <w:r w:rsidR="00265EE6">
        <w:rPr>
          <w:sz w:val="23"/>
          <w:szCs w:val="23"/>
          <w:u w:val="single"/>
        </w:rPr>
        <w:t xml:space="preserve"> w</w:t>
      </w:r>
      <w:r w:rsidR="00E379CE" w:rsidRPr="00E379CE">
        <w:rPr>
          <w:sz w:val="23"/>
          <w:szCs w:val="23"/>
          <w:u w:val="single"/>
        </w:rPr>
        <w:t xml:space="preserve"> </w:t>
      </w:r>
      <w:r w:rsidR="00E379CE">
        <w:rPr>
          <w:sz w:val="23"/>
          <w:szCs w:val="23"/>
          <w:u w:val="single"/>
        </w:rPr>
        <w:t>3</w:t>
      </w:r>
      <w:r w:rsidR="00E379CE" w:rsidRPr="00E379CE">
        <w:rPr>
          <w:sz w:val="23"/>
          <w:szCs w:val="23"/>
          <w:u w:val="single"/>
        </w:rPr>
        <w:t xml:space="preserve"> typ</w:t>
      </w:r>
      <w:r w:rsidR="00265EE6">
        <w:rPr>
          <w:sz w:val="23"/>
          <w:szCs w:val="23"/>
          <w:u w:val="single"/>
        </w:rPr>
        <w:t>ie</w:t>
      </w:r>
      <w:r w:rsidR="00E379CE" w:rsidRPr="00E379CE">
        <w:rPr>
          <w:sz w:val="23"/>
          <w:szCs w:val="23"/>
          <w:u w:val="single"/>
        </w:rPr>
        <w:t xml:space="preserve"> operacji</w:t>
      </w:r>
      <w:r w:rsidR="00E379CE">
        <w:rPr>
          <w:sz w:val="23"/>
          <w:szCs w:val="23"/>
        </w:rPr>
        <w:t xml:space="preserve">. </w:t>
      </w:r>
      <w:bookmarkEnd w:id="0"/>
      <w:r w:rsidR="00B833DB" w:rsidRPr="00D1049A">
        <w:t>Ważne</w:t>
      </w:r>
      <w:r w:rsidR="0040043A">
        <w:t>,</w:t>
      </w:r>
      <w:r w:rsidR="00B833DB" w:rsidRPr="00D1049A">
        <w:t xml:space="preserve"> aby </w:t>
      </w:r>
      <w:r w:rsidR="0040043A">
        <w:t xml:space="preserve">kursy zaplanowane w 3 typie operacji były </w:t>
      </w:r>
      <w:r w:rsidR="00B833DB" w:rsidRPr="00D1049A">
        <w:t>ściśle powiązan</w:t>
      </w:r>
      <w:r w:rsidR="0040043A">
        <w:t>e</w:t>
      </w:r>
      <w:r w:rsidR="00B833DB" w:rsidRPr="00D1049A">
        <w:t xml:space="preserve"> ze współpracą z otocze</w:t>
      </w:r>
      <w:r w:rsidR="00265EE6">
        <w:t>niem społeczno-gospodarczym, co </w:t>
      </w:r>
      <w:r w:rsidR="00B833DB" w:rsidRPr="00D1049A">
        <w:t xml:space="preserve">jest główną treścią </w:t>
      </w:r>
      <w:r w:rsidR="0040043A">
        <w:t>trzeciego</w:t>
      </w:r>
      <w:r w:rsidR="00B833DB" w:rsidRPr="00D1049A">
        <w:t xml:space="preserve"> typ</w:t>
      </w:r>
      <w:r w:rsidR="0040043A">
        <w:t>u</w:t>
      </w:r>
      <w:r w:rsidR="00B833DB" w:rsidRPr="00D1049A">
        <w:t xml:space="preserve"> operacji w ramach przedmiotowego konkursu. </w:t>
      </w:r>
    </w:p>
    <w:p w:rsidR="003C2082" w:rsidRDefault="00D273AB" w:rsidP="007B1D11">
      <w:pPr>
        <w:jc w:val="both"/>
      </w:pPr>
      <w:r w:rsidRPr="007B1D11">
        <w:t xml:space="preserve">Dodatkowo należy pamiętać, że zajęcia projektowe </w:t>
      </w:r>
      <w:r w:rsidR="007B1D11" w:rsidRPr="007B1D11">
        <w:t xml:space="preserve">muszą stanowić uzupełnienie działań prowadzonych przez szkoły lub placówki systemu oświaty przed rozpoczęciem realizacji projektu. Skala działań prowadzonych przed rozpoczęciem realizacji (nakłady środków na ich realizację) nie </w:t>
      </w:r>
      <w:r w:rsidR="007B1D11">
        <w:t xml:space="preserve">powinna </w:t>
      </w:r>
      <w:r w:rsidR="007B1D11" w:rsidRPr="007B1D11">
        <w:t>ule</w:t>
      </w:r>
      <w:r w:rsidR="007B1D11">
        <w:t>c</w:t>
      </w:r>
      <w:r w:rsidR="007B1D11" w:rsidRPr="007B1D11">
        <w:t xml:space="preserve"> zmniejszeniu w stosunku do skali działań (nakładów) prowadzonych w okresie 12 miesięcy poprzedzających złożenie wniosku o dofinansowanie projektu (średniomiesięcznie). Warunek</w:t>
      </w:r>
      <w:r w:rsidR="007B1D11">
        <w:t xml:space="preserve"> ten</w:t>
      </w:r>
      <w:r w:rsidR="007B1D11" w:rsidRPr="007B1D11">
        <w:t xml:space="preserve"> nie dotyczy działań zrealizowanych w ramach </w:t>
      </w:r>
      <w:r w:rsidR="00265EE6">
        <w:t>PO KL albo programów rządowych.</w:t>
      </w:r>
    </w:p>
    <w:sectPr w:rsidR="003C2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57297"/>
    <w:multiLevelType w:val="hybridMultilevel"/>
    <w:tmpl w:val="5CFEEBF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69"/>
    <w:rsid w:val="000326BD"/>
    <w:rsid w:val="000931BB"/>
    <w:rsid w:val="001949E7"/>
    <w:rsid w:val="00210EAF"/>
    <w:rsid w:val="00265EE6"/>
    <w:rsid w:val="002A31CD"/>
    <w:rsid w:val="003547EA"/>
    <w:rsid w:val="003748F0"/>
    <w:rsid w:val="003C2082"/>
    <w:rsid w:val="003D3F2F"/>
    <w:rsid w:val="003E08DE"/>
    <w:rsid w:val="0040043A"/>
    <w:rsid w:val="00456BAC"/>
    <w:rsid w:val="005500C1"/>
    <w:rsid w:val="005B52F1"/>
    <w:rsid w:val="00601789"/>
    <w:rsid w:val="007066A3"/>
    <w:rsid w:val="00745052"/>
    <w:rsid w:val="00775835"/>
    <w:rsid w:val="007B1D11"/>
    <w:rsid w:val="007D59EA"/>
    <w:rsid w:val="00956D59"/>
    <w:rsid w:val="00961E27"/>
    <w:rsid w:val="00992490"/>
    <w:rsid w:val="00A42D46"/>
    <w:rsid w:val="00A55498"/>
    <w:rsid w:val="00A86F48"/>
    <w:rsid w:val="00A91A1C"/>
    <w:rsid w:val="00AB72FE"/>
    <w:rsid w:val="00B47B21"/>
    <w:rsid w:val="00B833DB"/>
    <w:rsid w:val="00C55834"/>
    <w:rsid w:val="00D1049A"/>
    <w:rsid w:val="00D273AB"/>
    <w:rsid w:val="00D3389C"/>
    <w:rsid w:val="00D63ED5"/>
    <w:rsid w:val="00D75C6C"/>
    <w:rsid w:val="00DB0F1A"/>
    <w:rsid w:val="00E25379"/>
    <w:rsid w:val="00E379CE"/>
    <w:rsid w:val="00EC63BF"/>
    <w:rsid w:val="00F10F36"/>
    <w:rsid w:val="00F32FEE"/>
    <w:rsid w:val="00F34D69"/>
    <w:rsid w:val="00F56C5A"/>
    <w:rsid w:val="00FF16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CE08"/>
  <w15:chartTrackingRefBased/>
  <w15:docId w15:val="{FBD0759C-B741-4EBA-BF9C-929B332E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5C6C"/>
    <w:pPr>
      <w:ind w:left="720"/>
      <w:contextualSpacing/>
    </w:pPr>
  </w:style>
  <w:style w:type="character" w:styleId="Hipercze">
    <w:name w:val="Hyperlink"/>
    <w:basedOn w:val="Domylnaczcionkaakapitu"/>
    <w:uiPriority w:val="99"/>
    <w:unhideWhenUsed/>
    <w:rsid w:val="005B52F1"/>
    <w:rPr>
      <w:color w:val="0563C1" w:themeColor="hyperlink"/>
      <w:u w:val="single"/>
    </w:rPr>
  </w:style>
  <w:style w:type="paragraph" w:customStyle="1" w:styleId="Default">
    <w:name w:val="Default"/>
    <w:rsid w:val="00A91A1C"/>
    <w:pPr>
      <w:autoSpaceDE w:val="0"/>
      <w:autoSpaceDN w:val="0"/>
      <w:adjustRightInd w:val="0"/>
      <w:spacing w:after="0" w:line="240" w:lineRule="auto"/>
    </w:pPr>
    <w:rPr>
      <w:rFonts w:ascii="Arial" w:hAnsi="Arial" w:cs="Arial"/>
      <w:color w:val="000000"/>
      <w:sz w:val="24"/>
      <w:szCs w:val="24"/>
    </w:rPr>
  </w:style>
  <w:style w:type="character" w:styleId="Wzmianka">
    <w:name w:val="Mention"/>
    <w:basedOn w:val="Domylnaczcionkaakapitu"/>
    <w:uiPriority w:val="99"/>
    <w:semiHidden/>
    <w:unhideWhenUsed/>
    <w:rsid w:val="00A91A1C"/>
    <w:rPr>
      <w:color w:val="2B579A"/>
      <w:shd w:val="clear" w:color="auto" w:fill="E6E6E6"/>
    </w:rPr>
  </w:style>
  <w:style w:type="paragraph" w:styleId="Tekstdymka">
    <w:name w:val="Balloon Text"/>
    <w:basedOn w:val="Normalny"/>
    <w:link w:val="TekstdymkaZnak"/>
    <w:uiPriority w:val="99"/>
    <w:semiHidden/>
    <w:unhideWhenUsed/>
    <w:rsid w:val="00D104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0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fs.men.gov.pl/dokumenty/wytyczne-w-zakresie-realizacji-przedsiewziec-z-udzialem-srodkow-europejskiego-funduszu-spolecznego-w-obszarze-edukacji-na-lata-2014-202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1807</Words>
  <Characters>10842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Pałys, Anna</dc:creator>
  <cp:keywords/>
  <dc:description/>
  <cp:lastModifiedBy>Pałys, Anna</cp:lastModifiedBy>
  <cp:revision>6</cp:revision>
  <cp:lastPrinted>2017-03-30T09:54:00Z</cp:lastPrinted>
  <dcterms:created xsi:type="dcterms:W3CDTF">2017-03-30T09:23:00Z</dcterms:created>
  <dcterms:modified xsi:type="dcterms:W3CDTF">2017-03-31T10:15:00Z</dcterms:modified>
</cp:coreProperties>
</file>