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EE3BA2" w:rsidRPr="00EE3BA2">
        <w:rPr>
          <w:rFonts w:asciiTheme="minorHAnsi" w:hAnsiTheme="minorHAnsi"/>
          <w:b/>
          <w:sz w:val="22"/>
          <w:szCs w:val="22"/>
        </w:rPr>
        <w:t>13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>
        <w:rPr>
          <w:rFonts w:ascii="Tahoma" w:eastAsia="Tahoma" w:hAnsi="Tahoma" w:cs="Tahoma"/>
          <w:i/>
        </w:rPr>
        <w:t>(tytuł</w:t>
      </w:r>
      <w:r w:rsidRPr="001A37CC">
        <w:rPr>
          <w:rFonts w:ascii="Tahoma" w:eastAsia="Tahoma" w:hAnsi="Tahoma" w:cs="Tahoma"/>
          <w:i/>
        </w:rPr>
        <w:t xml:space="preserve"> projektu)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81520D">
        <w:rPr>
          <w:rFonts w:ascii="Tahoma" w:eastAsia="Tahoma" w:hAnsi="Tahoma" w:cs="Tahoma"/>
        </w:rPr>
        <w:t>ansowej 2014-2020 (Dz. U. z 2017 r. poz. 1140</w:t>
      </w:r>
      <w:r>
        <w:rPr>
          <w:rFonts w:ascii="Tahoma" w:eastAsia="Tahoma" w:hAnsi="Tahoma" w:cs="Tahoma"/>
        </w:rPr>
        <w:t xml:space="preserve">,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 xml:space="preserve">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1C3C76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 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2017 r. poz. 1579</w:t>
      </w:r>
      <w:r>
        <w:rPr>
          <w:rFonts w:ascii="Tahoma" w:eastAsia="Tahoma" w:hAnsi="Tahoma" w:cs="Tahoma"/>
        </w:rPr>
        <w:t xml:space="preserve">, z </w:t>
      </w:r>
      <w:proofErr w:type="spellStart"/>
      <w:r>
        <w:rPr>
          <w:rFonts w:ascii="Tahoma" w:eastAsia="Tahoma" w:hAnsi="Tahoma" w:cs="Tahoma"/>
        </w:rPr>
        <w:t>późn</w:t>
      </w:r>
      <w:proofErr w:type="spellEnd"/>
      <w:r>
        <w:rPr>
          <w:rFonts w:ascii="Tahoma" w:eastAsia="Tahoma" w:hAnsi="Tahoma" w:cs="Tahoma"/>
        </w:rPr>
        <w:t>. zm.)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2006 r. Nr 90, poz. 631, z </w:t>
      </w:r>
      <w:proofErr w:type="spellStart"/>
      <w:r w:rsidR="002044E6">
        <w:rPr>
          <w:rFonts w:ascii="Tahoma" w:eastAsia="Tahoma" w:hAnsi="Tahoma" w:cs="Tahoma"/>
        </w:rPr>
        <w:t>późn</w:t>
      </w:r>
      <w:proofErr w:type="spellEnd"/>
      <w:r w:rsidR="002044E6">
        <w:rPr>
          <w:rFonts w:ascii="Tahoma" w:eastAsia="Tahoma" w:hAnsi="Tahoma" w:cs="Tahoma"/>
        </w:rPr>
        <w:t>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>na wniosek tych podmiotów dokumentów i informacji na temat realizacji projektu, niezbędnych 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lastRenderedPageBreak/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informacji o wszystkich uczestnikach zadania/zadań realizowanego/</w:t>
      </w:r>
      <w:proofErr w:type="spellStart"/>
      <w:r>
        <w:rPr>
          <w:rFonts w:ascii="Tahoma" w:hAnsi="Tahoma" w:cs="Tahoma"/>
        </w:rPr>
        <w:t>nych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>w przypadku nieterminowego realizowania zadań, utrudniania kontroli realizacji zadań, 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>. 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1F3FDF" w:rsidRDefault="004B4CEA" w:rsidP="007153A4">
      <w:pPr>
        <w:jc w:val="both"/>
        <w:rPr>
          <w:rFonts w:ascii="Tahoma" w:hAnsi="Tahoma" w:cs="Tahoma"/>
        </w:rPr>
      </w:pPr>
      <w:r w:rsidRPr="007153A4">
        <w:rPr>
          <w:rFonts w:ascii="Tahoma" w:hAnsi="Tahoma" w:cs="Tahoma"/>
        </w:rPr>
        <w:t xml:space="preserve">Przy przetwarzaniu danych osobowych uczestników projektu </w:t>
      </w:r>
      <w:r w:rsidR="0078372A" w:rsidRPr="007153A4">
        <w:rPr>
          <w:rFonts w:ascii="Tahoma" w:hAnsi="Tahoma" w:cs="Tahoma"/>
        </w:rPr>
        <w:t xml:space="preserve">Partnerzy </w:t>
      </w:r>
      <w:r w:rsidRPr="007153A4">
        <w:rPr>
          <w:rFonts w:ascii="Tahoma" w:hAnsi="Tahoma" w:cs="Tahoma"/>
        </w:rPr>
        <w:t xml:space="preserve">przestrzegają zasad wskazanych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w ustawie </w:t>
      </w:r>
      <w:r w:rsidR="0078372A" w:rsidRPr="007153A4">
        <w:rPr>
          <w:rFonts w:ascii="Tahoma" w:hAnsi="Tahoma" w:cs="Tahoma"/>
        </w:rPr>
        <w:t>z dnia 29 sierpnia 1997 r. o ochronie danych osobowych (</w:t>
      </w:r>
      <w:r w:rsidR="00344D48">
        <w:rPr>
          <w:rFonts w:ascii="Tahoma" w:hAnsi="Tahoma" w:cs="Tahoma"/>
        </w:rPr>
        <w:t>Dz. U. z 2016</w:t>
      </w:r>
      <w:r w:rsidR="00F37891" w:rsidRPr="00F37891">
        <w:rPr>
          <w:rFonts w:ascii="Tahoma" w:hAnsi="Tahoma" w:cs="Tahoma"/>
        </w:rPr>
        <w:t xml:space="preserve"> r.</w:t>
      </w:r>
      <w:r w:rsidR="00344D48">
        <w:rPr>
          <w:rFonts w:ascii="Tahoma" w:hAnsi="Tahoma" w:cs="Tahoma"/>
        </w:rPr>
        <w:t xml:space="preserve"> poz. 922</w:t>
      </w:r>
      <w:bookmarkStart w:id="0" w:name="_GoBack"/>
      <w:bookmarkEnd w:id="0"/>
      <w:r w:rsidR="000419A4" w:rsidRPr="007153A4">
        <w:rPr>
          <w:rFonts w:ascii="Tahoma" w:hAnsi="Tahoma" w:cs="Tahoma"/>
        </w:rPr>
        <w:t>)</w:t>
      </w:r>
      <w:r w:rsidR="000C7C65" w:rsidRPr="007153A4">
        <w:rPr>
          <w:rFonts w:ascii="Tahoma" w:hAnsi="Tahoma" w:cs="Tahoma"/>
        </w:rPr>
        <w:t xml:space="preserve"> oraz </w:t>
      </w:r>
      <w:r w:rsidRPr="007153A4">
        <w:rPr>
          <w:rFonts w:ascii="Tahoma" w:hAnsi="Tahoma" w:cs="Tahoma"/>
        </w:rPr>
        <w:t>w rozporządzeniu Ministra Spraw Wewnętrznych i Admini</w:t>
      </w:r>
      <w:r w:rsidR="00743021">
        <w:rPr>
          <w:rFonts w:ascii="Tahoma" w:hAnsi="Tahoma" w:cs="Tahoma"/>
        </w:rPr>
        <w:t>stracji z dnia 29 kwietnia 2004</w:t>
      </w:r>
      <w:r w:rsidRPr="007153A4">
        <w:rPr>
          <w:rFonts w:ascii="Tahoma" w:hAnsi="Tahoma" w:cs="Tahoma"/>
        </w:rPr>
        <w:t xml:space="preserve">r. w sprawie dokumentacji przetwarzania danych osobowych oraz warunków technicznych </w:t>
      </w:r>
      <w:r w:rsidR="00743021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 xml:space="preserve">i organizacyjnych, jakim powinny odpowiadać urządzenia i systemy informatyczne służące </w:t>
      </w:r>
      <w:r w:rsidR="007153A4">
        <w:rPr>
          <w:rFonts w:ascii="Tahoma" w:hAnsi="Tahoma" w:cs="Tahoma"/>
        </w:rPr>
        <w:br/>
      </w:r>
      <w:r w:rsidRPr="007153A4">
        <w:rPr>
          <w:rFonts w:ascii="Tahoma" w:hAnsi="Tahoma" w:cs="Tahoma"/>
        </w:rPr>
        <w:t>do przetwarzania danych osobowych (Dz. U. Nr 100, poz. 1024).</w:t>
      </w:r>
    </w:p>
    <w:p w:rsidR="00586C3F" w:rsidRDefault="00586C3F" w:rsidP="007153A4">
      <w:pPr>
        <w:jc w:val="both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</w:t>
      </w:r>
      <w:proofErr w:type="spellStart"/>
      <w:r w:rsidRPr="001C072B">
        <w:rPr>
          <w:rFonts w:ascii="Tahoma" w:hAnsi="Tahoma" w:cs="Tahoma"/>
        </w:rPr>
        <w:t>ych</w:t>
      </w:r>
      <w:proofErr w:type="spellEnd"/>
      <w:r w:rsidRPr="001C072B">
        <w:rPr>
          <w:rFonts w:ascii="Tahoma" w:hAnsi="Tahoma" w:cs="Tahoma"/>
        </w:rPr>
        <w:t xml:space="preserve">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9"/>
      <w:footerReference w:type="default" r:id="rId10"/>
      <w:headerReference w:type="first" r:id="rId11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6B" w:rsidRDefault="001D266B" w:rsidP="00D3230A">
      <w:r>
        <w:separator/>
      </w:r>
    </w:p>
  </w:endnote>
  <w:endnote w:type="continuationSeparator" w:id="0">
    <w:p w:rsidR="001D266B" w:rsidRDefault="001D266B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F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6B" w:rsidRDefault="001D266B" w:rsidP="00D3230A">
      <w:r>
        <w:separator/>
      </w:r>
    </w:p>
  </w:footnote>
  <w:footnote w:type="continuationSeparator" w:id="0">
    <w:p w:rsidR="001D266B" w:rsidRDefault="001D266B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A3" w:rsidRDefault="00E445A3" w:rsidP="000D4FB0">
    <w:pPr>
      <w:ind w:right="-427"/>
      <w:rPr>
        <w:rFonts w:ascii="Arial" w:hAnsi="Arial" w:cs="Arial"/>
        <w:b/>
        <w:color w:val="00B050"/>
        <w:sz w:val="48"/>
        <w:szCs w:val="48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2181860</wp:posOffset>
          </wp:positionH>
          <wp:positionV relativeFrom="paragraph">
            <wp:posOffset>89535</wp:posOffset>
          </wp:positionV>
          <wp:extent cx="1461135" cy="685800"/>
          <wp:effectExtent l="19050" t="0" r="5715" b="0"/>
          <wp:wrapNone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drawing>
        <wp:inline distT="0" distB="0" distL="0" distR="0">
          <wp:extent cx="1666875" cy="771525"/>
          <wp:effectExtent l="19050" t="0" r="9525" b="0"/>
          <wp:docPr id="8" name="Obraz 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</w:t>
    </w:r>
    <w:r>
      <w:rPr>
        <w:noProof/>
        <w:lang w:eastAsia="pl-PL"/>
      </w:rPr>
      <w:drawing>
        <wp:inline distT="0" distB="0" distL="0" distR="0">
          <wp:extent cx="2505075" cy="771525"/>
          <wp:effectExtent l="19050" t="0" r="9525" b="0"/>
          <wp:docPr id="9" name="Obraz 6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2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3"/>
  </w:num>
  <w:num w:numId="4">
    <w:abstractNumId w:val="16"/>
  </w:num>
  <w:num w:numId="5">
    <w:abstractNumId w:val="4"/>
  </w:num>
  <w:num w:numId="6">
    <w:abstractNumId w:val="21"/>
  </w:num>
  <w:num w:numId="7">
    <w:abstractNumId w:val="31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27"/>
  </w:num>
  <w:num w:numId="15">
    <w:abstractNumId w:val="22"/>
  </w:num>
  <w:num w:numId="16">
    <w:abstractNumId w:val="25"/>
  </w:num>
  <w:num w:numId="17">
    <w:abstractNumId w:val="14"/>
  </w:num>
  <w:num w:numId="18">
    <w:abstractNumId w:val="26"/>
  </w:num>
  <w:num w:numId="19">
    <w:abstractNumId w:val="5"/>
  </w:num>
  <w:num w:numId="20">
    <w:abstractNumId w:val="23"/>
  </w:num>
  <w:num w:numId="21">
    <w:abstractNumId w:val="7"/>
  </w:num>
  <w:num w:numId="22">
    <w:abstractNumId w:val="9"/>
  </w:num>
  <w:num w:numId="23">
    <w:abstractNumId w:val="32"/>
  </w:num>
  <w:num w:numId="24">
    <w:abstractNumId w:val="18"/>
  </w:num>
  <w:num w:numId="25">
    <w:abstractNumId w:val="30"/>
  </w:num>
  <w:num w:numId="26">
    <w:abstractNumId w:val="24"/>
  </w:num>
  <w:num w:numId="27">
    <w:abstractNumId w:val="11"/>
  </w:num>
  <w:num w:numId="28">
    <w:abstractNumId w:val="19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1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51344"/>
    <w:rsid w:val="00084E2F"/>
    <w:rsid w:val="000A480E"/>
    <w:rsid w:val="000C0CFA"/>
    <w:rsid w:val="000C5E37"/>
    <w:rsid w:val="000C7C65"/>
    <w:rsid w:val="000D4FB0"/>
    <w:rsid w:val="000E1165"/>
    <w:rsid w:val="0010364B"/>
    <w:rsid w:val="001102C6"/>
    <w:rsid w:val="00116D1F"/>
    <w:rsid w:val="00125F03"/>
    <w:rsid w:val="00126EDA"/>
    <w:rsid w:val="001340FE"/>
    <w:rsid w:val="00145A96"/>
    <w:rsid w:val="00191EE3"/>
    <w:rsid w:val="001C072B"/>
    <w:rsid w:val="001C7F8C"/>
    <w:rsid w:val="001D266B"/>
    <w:rsid w:val="001D32E6"/>
    <w:rsid w:val="001F3FDF"/>
    <w:rsid w:val="002044E6"/>
    <w:rsid w:val="00215592"/>
    <w:rsid w:val="002211CB"/>
    <w:rsid w:val="00252BBC"/>
    <w:rsid w:val="00294C5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44D48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76FC6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6ECF"/>
    <w:rsid w:val="00711048"/>
    <w:rsid w:val="00713DCD"/>
    <w:rsid w:val="007153A4"/>
    <w:rsid w:val="00722A7B"/>
    <w:rsid w:val="00743021"/>
    <w:rsid w:val="00743DC6"/>
    <w:rsid w:val="00746AE2"/>
    <w:rsid w:val="0076254E"/>
    <w:rsid w:val="0077165B"/>
    <w:rsid w:val="00772F60"/>
    <w:rsid w:val="00773953"/>
    <w:rsid w:val="0078372A"/>
    <w:rsid w:val="00783AD3"/>
    <w:rsid w:val="007D752F"/>
    <w:rsid w:val="00814389"/>
    <w:rsid w:val="0081520D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803DE"/>
    <w:rsid w:val="00983A55"/>
    <w:rsid w:val="009B7292"/>
    <w:rsid w:val="009C2EDF"/>
    <w:rsid w:val="009D6BFC"/>
    <w:rsid w:val="009D7620"/>
    <w:rsid w:val="009F21D8"/>
    <w:rsid w:val="00A15585"/>
    <w:rsid w:val="00A52775"/>
    <w:rsid w:val="00AB3AED"/>
    <w:rsid w:val="00AC13B4"/>
    <w:rsid w:val="00AC278B"/>
    <w:rsid w:val="00AD2F98"/>
    <w:rsid w:val="00B00777"/>
    <w:rsid w:val="00B60433"/>
    <w:rsid w:val="00B61F1F"/>
    <w:rsid w:val="00B81B2D"/>
    <w:rsid w:val="00B85065"/>
    <w:rsid w:val="00B96280"/>
    <w:rsid w:val="00B97C78"/>
    <w:rsid w:val="00BB0681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7431"/>
    <w:rsid w:val="00D81B76"/>
    <w:rsid w:val="00D91073"/>
    <w:rsid w:val="00DA5901"/>
    <w:rsid w:val="00DE400A"/>
    <w:rsid w:val="00E053E7"/>
    <w:rsid w:val="00E20A84"/>
    <w:rsid w:val="00E445A3"/>
    <w:rsid w:val="00E536A5"/>
    <w:rsid w:val="00E6446C"/>
    <w:rsid w:val="00E71F7B"/>
    <w:rsid w:val="00E83B05"/>
    <w:rsid w:val="00EB7446"/>
    <w:rsid w:val="00EC066A"/>
    <w:rsid w:val="00EC374E"/>
    <w:rsid w:val="00EE3BA2"/>
    <w:rsid w:val="00EE3DFD"/>
    <w:rsid w:val="00EF0691"/>
    <w:rsid w:val="00F20EAA"/>
    <w:rsid w:val="00F37891"/>
    <w:rsid w:val="00F666CD"/>
    <w:rsid w:val="00F7506C"/>
    <w:rsid w:val="00F81917"/>
    <w:rsid w:val="00F90593"/>
    <w:rsid w:val="00FB2AF1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E9EC7-F119-4F02-88FB-EC672250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4591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Toporek, Magda</cp:lastModifiedBy>
  <cp:revision>6</cp:revision>
  <dcterms:created xsi:type="dcterms:W3CDTF">2016-02-17T06:19:00Z</dcterms:created>
  <dcterms:modified xsi:type="dcterms:W3CDTF">2017-11-27T13:37:00Z</dcterms:modified>
</cp:coreProperties>
</file>