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E77" w:rsidRPr="00AD2E77" w:rsidRDefault="00AD2E77" w:rsidP="00AD2E77">
      <w:pPr>
        <w:spacing w:after="0" w:line="240" w:lineRule="auto"/>
        <w:jc w:val="both"/>
        <w:rPr>
          <w:rFonts w:ascii="Times New Roman" w:eastAsia="Times New Roman" w:hAnsi="Times New Roman" w:cs="Times New Roman"/>
          <w:b/>
          <w:i/>
          <w:sz w:val="20"/>
          <w:szCs w:val="20"/>
          <w:lang w:eastAsia="pl-PL"/>
        </w:rPr>
      </w:pPr>
    </w:p>
    <w:p w:rsidR="00AD2E77" w:rsidRPr="00AD2E77" w:rsidRDefault="00AD2E77" w:rsidP="00AD2E77">
      <w:pPr>
        <w:spacing w:after="0" w:line="240" w:lineRule="auto"/>
        <w:jc w:val="both"/>
        <w:rPr>
          <w:rFonts w:ascii="Times New Roman" w:eastAsia="Times New Roman" w:hAnsi="Times New Roman" w:cs="Times New Roman"/>
          <w:b/>
          <w:i/>
          <w:sz w:val="20"/>
          <w:szCs w:val="20"/>
          <w:lang w:eastAsia="pl-PL"/>
        </w:rPr>
      </w:pPr>
      <w:r w:rsidRPr="00AD2E77">
        <w:rPr>
          <w:rFonts w:ascii="Times New Roman" w:eastAsia="Times New Roman" w:hAnsi="Times New Roman" w:cs="Times New Roman"/>
          <w:b/>
          <w:i/>
          <w:sz w:val="20"/>
          <w:szCs w:val="20"/>
          <w:lang w:eastAsia="pl-PL"/>
        </w:rPr>
        <w:t xml:space="preserve">Załącznik nr </w:t>
      </w:r>
      <w:r w:rsidR="000C7435">
        <w:rPr>
          <w:rFonts w:ascii="Times New Roman" w:eastAsia="Times New Roman" w:hAnsi="Times New Roman" w:cs="Times New Roman"/>
          <w:b/>
          <w:i/>
          <w:sz w:val="20"/>
          <w:szCs w:val="20"/>
          <w:lang w:eastAsia="pl-PL"/>
        </w:rPr>
        <w:t>10</w:t>
      </w:r>
      <w:r w:rsidRPr="00AD2E77">
        <w:rPr>
          <w:rFonts w:ascii="Times New Roman" w:eastAsia="Times New Roman" w:hAnsi="Times New Roman" w:cs="Times New Roman"/>
          <w:b/>
          <w:i/>
          <w:sz w:val="20"/>
          <w:szCs w:val="20"/>
          <w:lang w:eastAsia="pl-PL"/>
        </w:rPr>
        <w:t xml:space="preserve"> do </w:t>
      </w:r>
      <w:r>
        <w:rPr>
          <w:rFonts w:ascii="Times New Roman" w:eastAsia="Times New Roman" w:hAnsi="Times New Roman" w:cs="Times New Roman"/>
          <w:b/>
          <w:i/>
          <w:sz w:val="20"/>
          <w:szCs w:val="20"/>
          <w:lang w:eastAsia="pl-PL"/>
        </w:rPr>
        <w:t xml:space="preserve">Regulaminu jednoetapowego konkursu zamkniętego nr  </w:t>
      </w:r>
      <w:r w:rsidR="000C7435" w:rsidRPr="000C7435">
        <w:rPr>
          <w:rFonts w:ascii="Times New Roman" w:hAnsi="Times New Roman" w:cs="Times New Roman"/>
          <w:b/>
          <w:bCs/>
          <w:i/>
          <w:sz w:val="20"/>
          <w:szCs w:val="20"/>
        </w:rPr>
        <w:t>RPSW.02.05.00-IZ.00-26-255/19</w:t>
      </w:r>
      <w:r>
        <w:rPr>
          <w:rFonts w:ascii="Times New Roman" w:eastAsia="Times New Roman" w:hAnsi="Times New Roman" w:cs="Times New Roman"/>
          <w:b/>
          <w:i/>
          <w:sz w:val="20"/>
          <w:szCs w:val="20"/>
          <w:lang w:eastAsia="pl-PL"/>
        </w:rPr>
        <w:t xml:space="preserve"> </w:t>
      </w:r>
      <w:r w:rsidRPr="00AD2E77">
        <w:rPr>
          <w:rFonts w:ascii="Times New Roman" w:eastAsia="Times New Roman" w:hAnsi="Times New Roman" w:cs="Times New Roman"/>
          <w:b/>
          <w:i/>
          <w:sz w:val="20"/>
          <w:szCs w:val="20"/>
          <w:lang w:eastAsia="pl-PL"/>
        </w:rPr>
        <w:t xml:space="preserve"> </w:t>
      </w:r>
    </w:p>
    <w:p w:rsidR="00AD2E77" w:rsidRPr="00AD2E77" w:rsidRDefault="00AD2E77" w:rsidP="00AD2E77">
      <w:pPr>
        <w:keepNext/>
        <w:tabs>
          <w:tab w:val="left" w:pos="0"/>
        </w:tabs>
        <w:spacing w:before="360" w:after="120" w:line="240" w:lineRule="auto"/>
        <w:jc w:val="center"/>
        <w:outlineLvl w:val="0"/>
        <w:rPr>
          <w:rFonts w:ascii="Arial" w:eastAsia="Times New Roman" w:hAnsi="Arial" w:cs="Arial"/>
          <w:b/>
          <w:bCs/>
          <w:smallCaps/>
          <w:sz w:val="24"/>
          <w:szCs w:val="24"/>
          <w:u w:val="single"/>
          <w:lang w:eastAsia="en-GB"/>
        </w:rPr>
      </w:pPr>
      <w:r w:rsidRPr="00AD2E77">
        <w:rPr>
          <w:rFonts w:ascii="Arial" w:eastAsia="Times New Roman" w:hAnsi="Arial" w:cs="Arial"/>
          <w:b/>
          <w:bCs/>
          <w:smallCaps/>
          <w:sz w:val="24"/>
          <w:szCs w:val="24"/>
          <w:u w:val="single"/>
          <w:lang w:eastAsia="en-GB"/>
        </w:rPr>
        <w:t>FORMULARZ DO WNIOSKU O DOFINANSOWANIE W ZAKRESIE OCENY ODDZIAŁYWANIA NA ŚRODOWISKO (OOŚ)</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smallCaps/>
          <w:sz w:val="20"/>
          <w:szCs w:val="20"/>
          <w:lang w:eastAsia="en-GB"/>
        </w:rPr>
      </w:pP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r w:rsidRPr="00AD2E77">
        <w:rPr>
          <w:rFonts w:ascii="Arial" w:eastAsia="Times New Roman" w:hAnsi="Arial" w:cs="Arial"/>
          <w:b/>
          <w:bCs/>
          <w:i/>
          <w:smallCaps/>
          <w:sz w:val="20"/>
          <w:szCs w:val="20"/>
          <w:lang w:eastAsia="en-GB"/>
        </w:rPr>
        <w:t>NAZWA I ADRES WNIOSKODAWCY…………………………………………………………………</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bookmarkStart w:id="0" w:name="_GoBack"/>
      <w:bookmarkEnd w:id="0"/>
      <w:r w:rsidRPr="00AD2E77">
        <w:rPr>
          <w:rFonts w:ascii="Arial" w:eastAsia="Times New Roman" w:hAnsi="Arial" w:cs="Arial"/>
          <w:b/>
          <w:bCs/>
          <w:i/>
          <w:smallCaps/>
          <w:sz w:val="20"/>
          <w:szCs w:val="20"/>
          <w:lang w:eastAsia="en-GB"/>
        </w:rPr>
        <w:t>TYTUŁ PROJEKTU…………………………………………………………………………….</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r w:rsidRPr="00AD2E77">
        <w:rPr>
          <w:rFonts w:ascii="Arial" w:eastAsia="Times New Roman" w:hAnsi="Arial" w:cs="Arial"/>
          <w:b/>
          <w:bCs/>
          <w:i/>
          <w:smallCaps/>
          <w:sz w:val="20"/>
          <w:szCs w:val="20"/>
          <w:lang w:eastAsia="en-GB"/>
        </w:rPr>
        <w:t>NAZWA PRZEDSIĘZWIĘCIA WCHODZĄCEGO W SKŁAD PROJEKTU (JEŚLI DOTYCZY)</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r w:rsidRPr="00AD2E77">
        <w:rPr>
          <w:rFonts w:ascii="Arial" w:eastAsia="Times New Roman" w:hAnsi="Arial" w:cs="Arial"/>
          <w:b/>
          <w:bCs/>
          <w:i/>
          <w:smallCaps/>
          <w:sz w:val="20"/>
          <w:szCs w:val="20"/>
          <w:lang w:eastAsia="en-GB"/>
        </w:rPr>
        <w:t>……………………………………………………………………………………………………………….</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smallCaps/>
          <w:sz w:val="20"/>
          <w:szCs w:val="20"/>
          <w:lang w:eastAsia="en-GB"/>
        </w:rPr>
      </w:pPr>
      <w:r w:rsidRPr="00AD2E77">
        <w:rPr>
          <w:rFonts w:ascii="Arial" w:eastAsia="Times New Roman" w:hAnsi="Arial" w:cs="Arial"/>
          <w:b/>
          <w:bCs/>
          <w:smallCaps/>
          <w:sz w:val="20"/>
          <w:szCs w:val="20"/>
          <w:lang w:eastAsia="en-GB"/>
        </w:rPr>
        <w:t>ANALIZA ODDZIAŁYWANIA NA ŚRODOWISKO, Z UWZGLĘDNIENIEM POTRZEB DOTYCZĄCYCH PRZYSTOSOWANIA SIĘ DO ZMIAN KLIMATU I ŁAGODZENIA ZMIAN KLIMATU, A TAKŻE ODPORNOŚCI NA KLĘSKI ŻYWIOŁOWE</w:t>
      </w:r>
    </w:p>
    <w:p w:rsidR="00AD2E77" w:rsidRPr="00AD2E77" w:rsidRDefault="00AD2E77" w:rsidP="00AD2E77">
      <w:pPr>
        <w:spacing w:after="0" w:line="240" w:lineRule="auto"/>
        <w:rPr>
          <w:rFonts w:ascii="Calibri" w:eastAsia="Times New Roman"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uzasadnionych przypadkach dotyczących projektu złożonego z kilku przedsięwzięć, istnieje możliwość powielania części środowiskowej w całości lub w zakresie poszczególnych punktów w zależności od specyfiki projektu.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Nie ma konieczności powielania punktów, których treść się nie zmienia. Należy jednak wskazać, które punkty stanowią część wspólną dla wszystkich przedsięwzięć. </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Informacje dot. przedsięwzięcia/ć planowanych do realizacji zamieszczone w niniejszym formularzu muszą być spójne z informacjami podanymi we wniosku o dofinansowanie.</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Przez pojęcie „przedsięwzięcie”</w:t>
            </w:r>
            <w:r w:rsidRPr="00AD2E77">
              <w:rPr>
                <w:rFonts w:ascii="Arial" w:eastAsia="Times New Roman" w:hAnsi="Arial" w:cs="Arial"/>
                <w:sz w:val="20"/>
                <w:szCs w:val="24"/>
                <w:lang w:eastAsia="pl-PL"/>
              </w:rPr>
              <w:t xml:space="preserve"> rozumie się</w:t>
            </w:r>
            <w:r w:rsidRPr="00AD2E77">
              <w:rPr>
                <w:rFonts w:ascii="Arial" w:eastAsia="Times New Roman" w:hAnsi="Arial" w:cs="Arial"/>
                <w:i/>
                <w:sz w:val="20"/>
                <w:szCs w:val="24"/>
                <w:lang w:eastAsia="pl-PL"/>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sidRPr="00AD2E77">
              <w:rPr>
                <w:rFonts w:ascii="Arial" w:eastAsia="Times New Roman" w:hAnsi="Arial" w:cs="Arial"/>
                <w:sz w:val="20"/>
                <w:szCs w:val="24"/>
                <w:lang w:eastAsia="pl-PL"/>
              </w:rPr>
              <w:t>. Definicją ta została zawarta w art. 3 ust. 1 pkt. 13 ustawy</w:t>
            </w:r>
            <w:r w:rsidRPr="00AD2E77">
              <w:rPr>
                <w:rFonts w:ascii="Arial" w:eastAsia="Times New Roman" w:hAnsi="Arial" w:cs="Arial"/>
                <w:i/>
                <w:sz w:val="20"/>
                <w:szCs w:val="20"/>
                <w:lang w:eastAsia="pl-PL"/>
              </w:rPr>
              <w:t xml:space="preserve"> z dnia 3 października 2008 r. o udostępnianiu informacji o środowisku i jego ochronie, udziale społeczeństwa w ochronie środowiska oraz o ocenach oddziaływania na środowisko</w:t>
            </w:r>
            <w:r w:rsidRPr="00AD2E77">
              <w:rPr>
                <w:rFonts w:ascii="Arial" w:eastAsia="Times New Roman" w:hAnsi="Arial" w:cs="Arial"/>
                <w:sz w:val="20"/>
                <w:szCs w:val="20"/>
                <w:lang w:eastAsia="pl-PL"/>
              </w:rPr>
              <w:t xml:space="preserve"> </w:t>
            </w:r>
            <w:r w:rsidRPr="00AD2E77">
              <w:rPr>
                <w:rFonts w:ascii="Arial" w:eastAsia="Times New Roman" w:hAnsi="Arial" w:cs="Arial"/>
                <w:sz w:val="20"/>
                <w:szCs w:val="24"/>
                <w:lang w:eastAsia="pl-PL"/>
              </w:rPr>
              <w:t>(</w:t>
            </w:r>
            <w:proofErr w:type="spellStart"/>
            <w:r w:rsidRPr="00AD2E77">
              <w:rPr>
                <w:rFonts w:ascii="Arial" w:eastAsia="Times New Roman" w:hAnsi="Arial" w:cs="Arial"/>
                <w:sz w:val="20"/>
                <w:szCs w:val="24"/>
                <w:lang w:eastAsia="pl-PL"/>
              </w:rPr>
              <w:t>t.j</w:t>
            </w:r>
            <w:proofErr w:type="spellEnd"/>
            <w:r w:rsidRPr="00AD2E77">
              <w:rPr>
                <w:rFonts w:ascii="Arial" w:eastAsia="Times New Roman" w:hAnsi="Arial" w:cs="Arial"/>
                <w:sz w:val="20"/>
                <w:szCs w:val="24"/>
                <w:lang w:eastAsia="pl-PL"/>
              </w:rPr>
              <w:t xml:space="preserve">. Dz. U. z 2013 r., poz. 1235, z </w:t>
            </w:r>
            <w:proofErr w:type="spellStart"/>
            <w:r w:rsidRPr="00AD2E77">
              <w:rPr>
                <w:rFonts w:ascii="Arial" w:eastAsia="Times New Roman" w:hAnsi="Arial" w:cs="Arial"/>
                <w:sz w:val="20"/>
                <w:szCs w:val="24"/>
                <w:lang w:eastAsia="pl-PL"/>
              </w:rPr>
              <w:t>późn</w:t>
            </w:r>
            <w:proofErr w:type="spellEnd"/>
            <w:r w:rsidRPr="00AD2E77">
              <w:rPr>
                <w:rFonts w:ascii="Arial" w:eastAsia="Times New Roman" w:hAnsi="Arial" w:cs="Arial"/>
                <w:sz w:val="20"/>
                <w:szCs w:val="24"/>
                <w:lang w:eastAsia="pl-PL"/>
              </w:rPr>
              <w:t>. zm.)</w:t>
            </w:r>
            <w:r w:rsidRPr="00AD2E77">
              <w:rPr>
                <w:rFonts w:ascii="Arial" w:eastAsia="Times New Roman" w:hAnsi="Arial" w:cs="Arial"/>
                <w:sz w:val="20"/>
                <w:szCs w:val="20"/>
                <w:lang w:eastAsia="pl-PL"/>
              </w:rPr>
              <w:t xml:space="preserve"> dalej jako ustawa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b/>
                <w:sz w:val="20"/>
                <w:szCs w:val="20"/>
                <w:lang w:eastAsia="pl-PL"/>
              </w:rPr>
            </w:pPr>
          </w:p>
          <w:p w:rsidR="00AD2E77" w:rsidRPr="00AD2E77" w:rsidRDefault="00AD2E77" w:rsidP="00AD2E77">
            <w:pPr>
              <w:spacing w:after="0" w:line="240" w:lineRule="auto"/>
              <w:jc w:val="both"/>
              <w:rPr>
                <w:rFonts w:ascii="Arial" w:eastAsia="Times New Roman" w:hAnsi="Arial" w:cs="Arial"/>
                <w:b/>
                <w:sz w:val="20"/>
                <w:szCs w:val="20"/>
                <w:lang w:eastAsia="pl-PL"/>
              </w:rPr>
            </w:pPr>
            <w:r w:rsidRPr="00AD2E77">
              <w:rPr>
                <w:rFonts w:ascii="Arial" w:eastAsia="Times New Roman" w:hAnsi="Arial" w:cs="Arial"/>
                <w:b/>
                <w:sz w:val="20"/>
                <w:szCs w:val="20"/>
                <w:lang w:eastAsia="pl-PL"/>
              </w:rPr>
              <w:t>W polach niewypełnianych należy wpisać „nie dotyczy”.</w:t>
            </w:r>
          </w:p>
        </w:tc>
      </w:tr>
    </w:tbl>
    <w:p w:rsidR="00AD2E77" w:rsidRPr="00AD2E77" w:rsidRDefault="00AD2E77" w:rsidP="00AD2E77">
      <w:pPr>
        <w:spacing w:after="0" w:line="240" w:lineRule="auto"/>
        <w:rPr>
          <w:rFonts w:ascii="Calibri" w:eastAsia="Times New Roman" w:hAnsi="Calibri" w:cs="Calibri"/>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1.</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Times New Roman" w:eastAsia="Times New Roman" w:hAnsi="Times New Roman" w:cs="Arial"/>
                <w:sz w:val="20"/>
                <w:szCs w:val="20"/>
                <w:lang w:eastAsia="pl-PL"/>
              </w:rPr>
            </w:pPr>
            <w:r w:rsidRPr="00AD2E77">
              <w:rPr>
                <w:rFonts w:ascii="Arial" w:eastAsia="Times New Roman" w:hAnsi="Arial" w:cs="Arial"/>
                <w:sz w:val="20"/>
                <w:szCs w:val="20"/>
                <w:lang w:eastAsia="pl-PL"/>
              </w:rPr>
              <w:t xml:space="preserve">W punkcie 1. należy odnieść się do każdego z przedstawionych poniżej zagadnień w zwięzły sposób, opisując jak realizacja projektu wpisuje się w unijne i krajowe polityki dotyczące ochrony środowiska </w:t>
            </w:r>
            <w:r w:rsidRPr="00AD2E77">
              <w:rPr>
                <w:rFonts w:ascii="Arial" w:eastAsia="Times New Roman" w:hAnsi="Arial" w:cs="Arial"/>
                <w:sz w:val="20"/>
                <w:szCs w:val="20"/>
                <w:lang w:eastAsia="pl-PL"/>
              </w:rPr>
              <w:br/>
              <w:t>i zrównoważonego rozwoju.</w:t>
            </w:r>
          </w:p>
        </w:tc>
      </w:tr>
    </w:tbl>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1.1</w:t>
      </w:r>
      <w:r w:rsidRPr="00AD2E77">
        <w:rPr>
          <w:rFonts w:ascii="Arial" w:eastAsia="Times New Roman" w:hAnsi="Arial" w:cs="Arial"/>
          <w:sz w:val="20"/>
          <w:szCs w:val="20"/>
          <w:lang w:eastAsia="en-GB"/>
        </w:rPr>
        <w:tab/>
        <w:t xml:space="preserve">Należy opisać, w jaki sposób projekt przyczynia się do realizacji celów polityki ochrony środowiska, w tym w zakresie zmian klimatu, oraz w jaki sposób uwzględniono przedmiotowe cele w danym projekcie (w szczególności należy rozważyć następujące kwestie: efektywną </w:t>
      </w:r>
      <w:r w:rsidRPr="00AD2E77">
        <w:rPr>
          <w:rFonts w:ascii="Arial" w:eastAsia="Times New Roman" w:hAnsi="Arial" w:cs="Arial"/>
          <w:sz w:val="20"/>
          <w:szCs w:val="20"/>
          <w:lang w:eastAsia="en-GB"/>
        </w:rPr>
        <w:lastRenderedPageBreak/>
        <w:t>gospodarkę zasobami, zachowanie różnorodności biologicznej i usług ekosystemowych, zmniejszenie emisji gazów cieplarnianych, odporność na skutki zmian klimatu, itp.).</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Należy opisać w jaki sposób projekt przyczynia się do realizacji celów polityki ochrony środowiska, a w tym, w zakresie dotyczącym zmian klimatu, opisanych we właściwych dokumentach strategicznych.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b/>
                <w:bCs/>
                <w:sz w:val="20"/>
                <w:szCs w:val="20"/>
                <w:lang w:eastAsia="pl-PL"/>
              </w:rPr>
              <w:t xml:space="preserve">Uwagi pomocnicze w odniesieniu do aspektów klimatycznych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dokumentów w odniesieniu do działań związanych z łagodzeniem zmian klimatu opiera się na ustaleniach oraz celach wynikających z pakietu energetyczno-klimatycznego.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Krajowy Plan Działania w zakresie energii ze źródeł odnawialnych (2010);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Krajowy Plan Działań dotyczący efektywności energetycznej dla Polski (2014);</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Ocena ryzyka na potrzeby zarządzania kryzysowego. Raport o zagrożeniach bezpieczeństwa narodowego (2013);</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Polityka energetyczna Polski do 2030 roku (2009);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Polityka klimatyczna Polski. Strategia redukcji emisji gazów cieplarnianych w Polsce do roku 2020 (2003);</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Strategia Bezpieczeństwo Energetyczne i Środowisko (2014);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Projekt Narodowego Programu Rozwoju Gospodarki Niskoemisyjnej (2015).</w:t>
            </w:r>
          </w:p>
          <w:p w:rsidR="00AD2E77" w:rsidRPr="00AD2E77" w:rsidRDefault="00AD2E77" w:rsidP="00AD2E77">
            <w:pPr>
              <w:spacing w:after="0" w:line="240" w:lineRule="auto"/>
              <w:jc w:val="both"/>
              <w:rPr>
                <w:rFonts w:ascii="Arial" w:eastAsia="Times New Roman" w:hAnsi="Arial" w:cs="Arial"/>
                <w:sz w:val="20"/>
                <w:szCs w:val="20"/>
                <w:lang w:eastAsia="pl-PL"/>
              </w:rPr>
            </w:pP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1.2</w:t>
      </w:r>
      <w:r w:rsidRPr="00AD2E77">
        <w:rPr>
          <w:rFonts w:ascii="Arial" w:eastAsia="Times New Roman" w:hAnsi="Arial" w:cs="Arial"/>
          <w:sz w:val="20"/>
          <w:szCs w:val="20"/>
          <w:lang w:eastAsia="en-GB"/>
        </w:rPr>
        <w:tab/>
        <w:t>Należy opisać, w jaki sposób projekt jest zgodny z zasadą ostrożności, zasadą działania zapobiegawczego oraz zasadą naprawiania szkody w pierwszym rzędzie u źródła i zasadą „zanieczyszczający płaci”.</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Należy wykazać, że projekt został również przygotowany z zachowaniem zasad:</w:t>
            </w:r>
          </w:p>
          <w:p w:rsidR="00AD2E77" w:rsidRPr="00AD2E77" w:rsidRDefault="00AD2E77" w:rsidP="00AD2E77">
            <w:pPr>
              <w:spacing w:after="0" w:line="240" w:lineRule="auto"/>
              <w:rPr>
                <w:rFonts w:ascii="Arial" w:eastAsia="Times New Roman" w:hAnsi="Arial" w:cs="Arial"/>
                <w:b/>
                <w:sz w:val="20"/>
                <w:szCs w:val="20"/>
              </w:rPr>
            </w:pPr>
            <w:r w:rsidRPr="00AD2E77">
              <w:rPr>
                <w:rFonts w:ascii="Arial" w:eastAsia="Times New Roman" w:hAnsi="Arial" w:cs="Arial"/>
                <w:b/>
                <w:sz w:val="20"/>
                <w:szCs w:val="20"/>
              </w:rPr>
              <w:t xml:space="preserve">- ostrożności, </w:t>
            </w:r>
          </w:p>
          <w:p w:rsidR="00AD2E77" w:rsidRPr="00AD2E77" w:rsidRDefault="00AD2E77" w:rsidP="00AD2E77">
            <w:pPr>
              <w:spacing w:after="0" w:line="240" w:lineRule="auto"/>
              <w:rPr>
                <w:rFonts w:ascii="Arial" w:eastAsia="Times New Roman" w:hAnsi="Arial" w:cs="Arial"/>
                <w:b/>
                <w:sz w:val="20"/>
                <w:szCs w:val="20"/>
              </w:rPr>
            </w:pPr>
            <w:r w:rsidRPr="00AD2E77">
              <w:rPr>
                <w:rFonts w:ascii="Arial" w:eastAsia="Times New Roman" w:hAnsi="Arial" w:cs="Arial"/>
                <w:b/>
                <w:sz w:val="20"/>
                <w:szCs w:val="20"/>
              </w:rPr>
              <w:t xml:space="preserve">- działania zapobiegawczego, </w:t>
            </w:r>
          </w:p>
          <w:p w:rsidR="00AD2E77" w:rsidRPr="00AD2E77" w:rsidRDefault="00AD2E77" w:rsidP="00AD2E77">
            <w:pPr>
              <w:spacing w:after="0" w:line="240" w:lineRule="auto"/>
              <w:rPr>
                <w:rFonts w:ascii="Arial" w:eastAsia="Times New Roman" w:hAnsi="Arial" w:cs="Arial"/>
                <w:b/>
                <w:sz w:val="20"/>
                <w:szCs w:val="20"/>
              </w:rPr>
            </w:pPr>
            <w:r w:rsidRPr="00AD2E77">
              <w:rPr>
                <w:rFonts w:ascii="Arial" w:eastAsia="Times New Roman" w:hAnsi="Arial" w:cs="Arial"/>
                <w:b/>
                <w:sz w:val="20"/>
                <w:szCs w:val="20"/>
              </w:rPr>
              <w:t xml:space="preserve">- naprawiania szkody w pierwszym rzędzie u źródła, </w:t>
            </w:r>
          </w:p>
          <w:p w:rsidR="00AD2E77" w:rsidRPr="00AD2E77" w:rsidRDefault="00AD2E77" w:rsidP="00AD2E77">
            <w:pPr>
              <w:spacing w:after="0" w:line="240" w:lineRule="auto"/>
              <w:rPr>
                <w:rFonts w:ascii="Arial" w:eastAsia="Times New Roman" w:hAnsi="Arial" w:cs="Arial"/>
                <w:sz w:val="20"/>
                <w:szCs w:val="20"/>
              </w:rPr>
            </w:pPr>
            <w:r w:rsidRPr="00AD2E77">
              <w:rPr>
                <w:rFonts w:ascii="Arial" w:eastAsia="Times New Roman" w:hAnsi="Arial" w:cs="Arial"/>
                <w:b/>
                <w:sz w:val="20"/>
                <w:szCs w:val="20"/>
              </w:rPr>
              <w:t>- zanieczyszczający płaci</w:t>
            </w:r>
            <w:r w:rsidRPr="00AD2E77">
              <w:rPr>
                <w:rFonts w:ascii="Arial" w:eastAsia="Times New Roman" w:hAnsi="Arial" w:cs="Arial"/>
                <w:sz w:val="20"/>
                <w:szCs w:val="20"/>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AD2E77" w:rsidRPr="00AD2E77" w:rsidRDefault="00AD2E77" w:rsidP="00AD2E77">
            <w:pPr>
              <w:spacing w:after="0" w:line="240" w:lineRule="auto"/>
              <w:rPr>
                <w:rFonts w:ascii="Arial" w:eastAsia="Times New Roman" w:hAnsi="Arial" w:cs="Arial"/>
                <w:sz w:val="20"/>
                <w:szCs w:val="20"/>
              </w:rPr>
            </w:pP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Zasady: ostrożności, działania zapobiegawczego, naprawiania szkody w pierwszym rzędzie u źródła </w:t>
            </w:r>
            <w:r w:rsidRPr="00AD2E77">
              <w:rPr>
                <w:rFonts w:ascii="Arial" w:eastAsia="Times New Roman" w:hAnsi="Arial" w:cs="Arial"/>
                <w:sz w:val="20"/>
                <w:szCs w:val="20"/>
                <w:lang w:eastAsia="pl-PL"/>
              </w:rPr>
              <w:br/>
              <w:t xml:space="preserve">i zanieczyszczający płaci, są ogólnymi zasadami wynikającymi z art. 191 ust 1 Traktatu o funkcjonowaniu Unii Europejskiej. Ogólny opis ww. zasad znajduje się na EKOPORTALU na poniższej stronie resortu środowiska: </w:t>
            </w:r>
          </w:p>
          <w:p w:rsidR="00AD2E77" w:rsidRPr="00AD2E77" w:rsidRDefault="000C7435" w:rsidP="00AD2E77">
            <w:pPr>
              <w:autoSpaceDE w:val="0"/>
              <w:autoSpaceDN w:val="0"/>
              <w:adjustRightInd w:val="0"/>
              <w:spacing w:after="0" w:line="240" w:lineRule="auto"/>
              <w:jc w:val="both"/>
              <w:rPr>
                <w:rFonts w:ascii="Arial" w:eastAsia="Times New Roman" w:hAnsi="Arial" w:cs="Arial"/>
                <w:sz w:val="20"/>
                <w:szCs w:val="20"/>
                <w:lang w:eastAsia="pl-PL"/>
              </w:rPr>
            </w:pPr>
            <w:hyperlink r:id="rId7" w:history="1">
              <w:r w:rsidR="00AD2E77" w:rsidRPr="00AD2E77">
                <w:rPr>
                  <w:rFonts w:ascii="Arial" w:eastAsia="Times New Roman" w:hAnsi="Arial" w:cs="Arial"/>
                  <w:color w:val="0000FF"/>
                  <w:sz w:val="20"/>
                  <w:szCs w:val="20"/>
                  <w:u w:val="single"/>
                  <w:lang w:eastAsia="pl-PL"/>
                </w:rPr>
                <w:t>http://archiwum.ekoportal.gov.pl/prawo_dokumenty_strategiczne/PolitykaOchronySrodowiskaUE/CeleZasadyPrawoOchronySrodUE.html</w:t>
              </w:r>
            </w:hyperlink>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Wytyczne dotyczące sposobu stosowania zasady ostrożności przygotowane zostały przez Komisję Europejską i opublikowane w formie komunikatu z dnia 2 lutego 2000 roku: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t>
            </w:r>
            <w:hyperlink r:id="rId8" w:history="1">
              <w:r w:rsidRPr="00AD2E77">
                <w:rPr>
                  <w:rFonts w:ascii="Arial" w:eastAsia="Times New Roman" w:hAnsi="Arial" w:cs="Arial"/>
                  <w:color w:val="0000FF"/>
                  <w:sz w:val="20"/>
                  <w:szCs w:val="20"/>
                  <w:u w:val="single"/>
                  <w:lang w:eastAsia="pl-PL"/>
                </w:rPr>
                <w:t>http://eur-lex.europa.eu/legal-content/PL/TXT/?uri=celex:52000DC0001</w:t>
              </w:r>
            </w:hyperlink>
            <w:r w:rsidRPr="00AD2E77">
              <w:rPr>
                <w:rFonts w:ascii="Arial" w:eastAsia="Times New Roman" w:hAnsi="Arial" w:cs="Arial"/>
                <w:sz w:val="20"/>
                <w:szCs w:val="20"/>
                <w:lang w:eastAsia="pl-PL"/>
              </w:rPr>
              <w:t>).</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color w:val="000000"/>
                <w:sz w:val="20"/>
                <w:szCs w:val="20"/>
                <w:lang w:eastAsia="pl-PL"/>
              </w:rPr>
              <w:lastRenderedPageBreak/>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r w:rsidRPr="00AD2E77">
              <w:rPr>
                <w:rFonts w:ascii="Times New Roman" w:eastAsia="Times New Roman" w:hAnsi="Times New Roman" w:cs="Times New Roman"/>
                <w:color w:val="000000"/>
                <w:sz w:val="20"/>
                <w:szCs w:val="20"/>
                <w:lang w:eastAsia="pl-PL"/>
              </w:rPr>
              <w:t xml:space="preserve"> </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2.</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Stosowanie dyrektywy 2001/42/WE Parlamentu Europejskiego i Rady</w:t>
      </w:r>
      <w:r w:rsidRPr="00AD2E77">
        <w:rPr>
          <w:rFonts w:ascii="Arial" w:eastAsia="Times New Roman" w:hAnsi="Arial" w:cs="Arial"/>
          <w:b/>
          <w:sz w:val="20"/>
          <w:szCs w:val="20"/>
          <w:vertAlign w:val="superscript"/>
          <w:lang w:eastAsia="en-GB"/>
        </w:rPr>
        <w:footnoteReference w:id="1"/>
      </w:r>
      <w:r w:rsidRPr="00AD2E77">
        <w:rPr>
          <w:rFonts w:ascii="Arial" w:eastAsia="Times New Roman" w:hAnsi="Arial" w:cs="Arial"/>
          <w:sz w:val="20"/>
          <w:szCs w:val="20"/>
          <w:lang w:eastAsia="en-GB"/>
        </w:rPr>
        <w:t xml:space="preserve"> </w:t>
      </w:r>
      <w:r w:rsidRPr="00AD2E77">
        <w:rPr>
          <w:rFonts w:ascii="Arial" w:eastAsia="Times New Roman" w:hAnsi="Arial" w:cs="Arial"/>
          <w:b/>
          <w:bCs/>
          <w:sz w:val="20"/>
          <w:szCs w:val="20"/>
          <w:lang w:eastAsia="en-GB"/>
        </w:rPr>
        <w:t>(„dyrektywa SOOŚ”)</w:t>
      </w:r>
      <w:r w:rsidRPr="00AD2E77">
        <w:rPr>
          <w:rFonts w:ascii="Arial" w:eastAsia="Times New Roman" w:hAnsi="Arial" w:cs="Arial"/>
          <w:sz w:val="20"/>
          <w:szCs w:val="20"/>
          <w:lang w:eastAsia="en-GB"/>
        </w:rPr>
        <w:tab/>
      </w: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2.1</w:t>
      </w:r>
      <w:r w:rsidRPr="00AD2E77">
        <w:rPr>
          <w:rFonts w:ascii="Arial" w:eastAsia="Times New Roman" w:hAnsi="Arial" w:cs="Arial"/>
          <w:sz w:val="20"/>
          <w:szCs w:val="20"/>
          <w:lang w:eastAsia="en-GB"/>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2.2.</w:t>
      </w:r>
      <w:r w:rsidRPr="00AD2E77">
        <w:rPr>
          <w:rFonts w:ascii="Arial" w:eastAsia="Times New Roman" w:hAnsi="Arial" w:cs="Arial"/>
          <w:sz w:val="20"/>
          <w:szCs w:val="20"/>
          <w:lang w:eastAsia="en-GB"/>
        </w:rPr>
        <w:tab/>
        <w:t>Jeżeli w odpowiedzi na pytanie 2.1 zaznaczono „Tak”, należy określić, czy dany plan lub program podlegał strategicznej ocenie oddziaływania na środowisko zgodnie z dyrektywą 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ind w:left="708" w:firstLine="708"/>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„nie”, należy podać krótkie wyjaśnienie:</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p>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„Tak”, należy podać nietechniczne streszczenie</w:t>
      </w:r>
      <w:r w:rsidRPr="00AD2E77">
        <w:rPr>
          <w:rFonts w:ascii="Arial" w:eastAsia="Times New Roman" w:hAnsi="Arial" w:cs="Arial"/>
          <w:sz w:val="20"/>
          <w:szCs w:val="20"/>
          <w:vertAlign w:val="superscript"/>
          <w:lang w:eastAsia="en-GB"/>
        </w:rPr>
        <w:footnoteReference w:id="2"/>
      </w:r>
      <w:r w:rsidRPr="00AD2E77">
        <w:rPr>
          <w:rFonts w:ascii="Arial" w:eastAsia="Times New Roman" w:hAnsi="Arial" w:cs="Arial"/>
          <w:sz w:val="20"/>
          <w:szCs w:val="20"/>
          <w:vertAlign w:val="superscript"/>
          <w:lang w:eastAsia="en-GB"/>
        </w:rPr>
        <w:t xml:space="preserve"> </w:t>
      </w:r>
      <w:r w:rsidRPr="00AD2E77">
        <w:rPr>
          <w:rFonts w:ascii="Arial" w:eastAsia="Times New Roman" w:hAnsi="Arial" w:cs="Arial"/>
          <w:sz w:val="20"/>
          <w:szCs w:val="20"/>
          <w:lang w:eastAsia="en-GB"/>
        </w:rPr>
        <w:t>sprawozdania dotyczącego środowiska oraz informacji wymaganych w art. 9 ust. 1 lit. b) przedmiotowej dyrektywy (łącze internetowe albo kopię elektroniczną).</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Niezależnie od tego czy projekt jest ujęty w RPOWŚ 2014-2020, w przypadku, gdy dany projekt:</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 nie jest realizowany w wyniku planu lub programu, innego niż program operacyjny, w pkt 2.1. należy zaznaczyć kwadrat NIE i w pkt 2.2 wpisać „nie dotyczy”; </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jest realizowany w wyniku planu lub programu, innego niż program operacyjny,</w:t>
            </w:r>
            <w:r w:rsidRPr="00AD2E77" w:rsidDel="00E67AB2">
              <w:rPr>
                <w:rFonts w:ascii="Arial" w:eastAsia="Times New Roman" w:hAnsi="Arial" w:cs="Arial"/>
                <w:sz w:val="20"/>
                <w:szCs w:val="24"/>
                <w:lang w:eastAsia="pl-PL"/>
              </w:rPr>
              <w:t xml:space="preserve"> </w:t>
            </w:r>
            <w:r w:rsidRPr="00AD2E77">
              <w:rPr>
                <w:rFonts w:ascii="Arial" w:eastAsia="Times New Roman" w:hAnsi="Arial" w:cs="Arial"/>
                <w:sz w:val="20"/>
                <w:szCs w:val="24"/>
                <w:lang w:eastAsia="pl-PL"/>
              </w:rPr>
              <w:t>w pkt 2.1. należy zaznaczyć kwadrat TAK i wypełnić pkt 2.2.</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oraz odpowiednio zaznaczyć w punkcie 2.2. kwadrat: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NIE – jeśli plan lub program nie podlegał strategicznej ocenie oddziaływania na środowisko, a następnie w polu tekstowym podać krótkie wyjaśnienie, dlaczego nie przeprowadzono tej oceny,</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TAK – jeśli plan lub program podlegał strategicznej ocenie oddziaływania na środowisko, oraz należy załączyć lub udostępnić link do: </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nietechnicznego streszczenia prognozy oddziaływania na środowisko,</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o którym mowa w art. 51 ust. 2 pkt 1 lit. e ustawy OOŚ,</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dokumentów, o których mowa w art. 43 ustawy OOŚ wraz z informacją o podaniu do publicznej wiadomości informacji o przyjęciu dokumentu i możliwości zapoznania się z dokumentacją sprawy.</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Przez sprawozdanie dotyczące środowiska należy rozumieć prognozę oddziaływania na środowisko.</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b/>
                <w:sz w:val="20"/>
                <w:szCs w:val="24"/>
                <w:lang w:eastAsia="pl-PL"/>
              </w:rPr>
              <w:t>Przez program operacyjny</w:t>
            </w:r>
            <w:r w:rsidRPr="00AD2E77">
              <w:rPr>
                <w:rFonts w:ascii="Arial" w:eastAsia="Times New Roman" w:hAnsi="Arial" w:cs="Arial"/>
                <w:sz w:val="20"/>
                <w:szCs w:val="24"/>
                <w:lang w:eastAsia="pl-PL"/>
              </w:rPr>
              <w:t xml:space="preserve"> należy rozumieć krajowy lub regionalny program operacyjny.</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4"/>
                <w:lang w:eastAsia="pl-PL"/>
              </w:rPr>
              <w:t xml:space="preserve">Przez plan lub program inny niż program operacyjny </w:t>
            </w:r>
            <w:r w:rsidRPr="00AD2E77">
              <w:rPr>
                <w:rFonts w:ascii="Arial" w:eastAsia="Times New Roman" w:hAnsi="Arial" w:cs="Arial"/>
                <w:sz w:val="20"/>
                <w:szCs w:val="24"/>
                <w:lang w:eastAsia="pl-PL"/>
              </w:rPr>
              <w:t xml:space="preserve">należy rozumieć niebędący programem operacyjnym dokument, o którym mowa w art. 46 ustawy </w:t>
            </w:r>
            <w:proofErr w:type="spellStart"/>
            <w:r w:rsidRPr="00AD2E77">
              <w:rPr>
                <w:rFonts w:ascii="Arial" w:eastAsia="Times New Roman" w:hAnsi="Arial" w:cs="Arial"/>
                <w:sz w:val="20"/>
                <w:szCs w:val="24"/>
                <w:lang w:eastAsia="pl-PL"/>
              </w:rPr>
              <w:t>ooś</w:t>
            </w:r>
            <w:proofErr w:type="spellEnd"/>
            <w:r w:rsidRPr="00AD2E77">
              <w:rPr>
                <w:rFonts w:ascii="Arial" w:eastAsia="Times New Roman" w:hAnsi="Arial" w:cs="Arial"/>
                <w:sz w:val="20"/>
                <w:szCs w:val="24"/>
                <w:lang w:eastAsia="pl-PL"/>
              </w:rPr>
              <w:t>, z którego postanowień wynika realizacja przedsięwzięcia.</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3.</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Stosowanie dyrektywy 2011/92/WE Parlamentu Europejskiego i Rady</w:t>
      </w:r>
      <w:r w:rsidRPr="00AD2E77">
        <w:rPr>
          <w:rFonts w:ascii="Arial" w:eastAsia="Times New Roman" w:hAnsi="Arial" w:cs="Arial"/>
          <w:b/>
          <w:bCs/>
          <w:sz w:val="20"/>
          <w:szCs w:val="20"/>
          <w:vertAlign w:val="superscript"/>
          <w:lang w:eastAsia="en-GB"/>
        </w:rPr>
        <w:footnoteReference w:id="3"/>
      </w:r>
      <w:r w:rsidRPr="00AD2E77">
        <w:rPr>
          <w:rFonts w:ascii="Arial" w:eastAsia="Times New Roman" w:hAnsi="Arial" w:cs="Arial"/>
          <w:b/>
          <w:bCs/>
          <w:sz w:val="20"/>
          <w:szCs w:val="20"/>
          <w:lang w:eastAsia="en-GB"/>
        </w:rPr>
        <w:t xml:space="preserve"> („dyrektywa OOŚ”)</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t>3.1</w:t>
      </w:r>
      <w:r w:rsidRPr="00AD2E77">
        <w:rPr>
          <w:rFonts w:ascii="Arial" w:eastAsia="Times New Roman"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Punkt dotyczy wyłącznie projektów dużych w rozumieniu rozporządzenia (UE) nr 1303/2013.</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polu należy wpisać „nie dotyczy” jeżeli warunek wstępny jest spełniony.</w:t>
            </w:r>
          </w:p>
        </w:tc>
      </w:tr>
    </w:tbl>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t xml:space="preserve">3.2 </w:t>
      </w:r>
      <w:r w:rsidRPr="00AD2E77">
        <w:rPr>
          <w:rFonts w:ascii="Arial" w:eastAsia="Times New Roman" w:hAnsi="Arial" w:cs="Arial"/>
          <w:sz w:val="20"/>
          <w:szCs w:val="20"/>
          <w:lang w:eastAsia="en-GB"/>
        </w:rPr>
        <w:tab/>
        <w:t>Czy projekt jest rodzajem przedsięwzięcia objętym</w:t>
      </w:r>
      <w:r w:rsidRPr="00AD2E77">
        <w:rPr>
          <w:rFonts w:ascii="Arial" w:eastAsia="Times New Roman" w:hAnsi="Arial" w:cs="Arial"/>
          <w:i/>
          <w:iCs/>
          <w:sz w:val="20"/>
          <w:szCs w:val="20"/>
          <w:vertAlign w:val="superscript"/>
          <w:lang w:eastAsia="en-GB"/>
        </w:rPr>
        <w:footnoteReference w:id="4"/>
      </w:r>
      <w:r w:rsidRPr="00AD2E77">
        <w:rPr>
          <w:rFonts w:ascii="Arial" w:eastAsia="Times New Roman" w:hAnsi="Arial" w:cs="Arial"/>
          <w:i/>
          <w:iCs/>
          <w:sz w:val="20"/>
          <w:szCs w:val="20"/>
          <w:lang w:eastAsia="en-GB"/>
        </w:rPr>
        <w:t>:</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załącznikiem I do tej dyrektywy (należy przejść do pytania 3.3);</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załącznikiem II do tej dyrektywy (należy przejść do pytania 3.4);</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żadnym z powyższych załączników (należy przejść do pytania 4) – należy przedstawić wyjaśnienie poniżej.</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UWAGA!</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Należy dokonać klasyfikacji danego przedsięwzięcia w ramach rodzajów przedsięwzięć wskazanych </w:t>
            </w:r>
            <w:r w:rsidRPr="00AD2E77">
              <w:rPr>
                <w:rFonts w:ascii="Arial" w:eastAsia="Times New Roman" w:hAnsi="Arial" w:cs="Arial"/>
                <w:sz w:val="20"/>
                <w:szCs w:val="20"/>
                <w:lang w:eastAsia="pl-PL"/>
              </w:rPr>
              <w:br/>
              <w:t>w załącznikach do dyrektywy OOŚ. W przypadku kiedy występuje różnica między klasyfikacją wg prawa krajowego, a ww. klasyfikacją wg. dyrektywy należy wprowadzić stosowny komentarz wyjaśniający.</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odniesieniu do projektów, które nie obejmują przedsięwzięć wskazanych w żadnych z powyższych załączników dyrektywy, a ujętych wg prawa krajowego jako przedsięwzięcia mogące potencjalnie znacząco oddziaływać na środowisko należy przejść do pytania 3.4.</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odniesieniu do projektów, które nie obejmują przedsięwzięć wskazanych w żadnym z powyższych załączników dyrektywy, a ujętych wg prawa krajowego jako przedsięwzięcia mogące zawsze znacząco oddziaływać na środowisko należy przejść do pytania 3.3.</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Jeżeli przedsięwzięcie nie zostało ujęte w rozporządzeniu Rady Ministrów z dnia 9 listopada 2010 r. w sprawie przedsięwzięć mogących znacząco oddziaływać na środowisko (Dz.U.2010.213.1397, z </w:t>
            </w:r>
            <w:proofErr w:type="spellStart"/>
            <w:r w:rsidRPr="00AD2E77">
              <w:rPr>
                <w:rFonts w:ascii="Arial" w:eastAsia="Times New Roman" w:hAnsi="Arial" w:cs="Arial"/>
                <w:sz w:val="20"/>
                <w:szCs w:val="20"/>
                <w:lang w:eastAsia="pl-PL"/>
              </w:rPr>
              <w:t>późn</w:t>
            </w:r>
            <w:proofErr w:type="spellEnd"/>
            <w:r w:rsidRPr="00AD2E77">
              <w:rPr>
                <w:rFonts w:ascii="Arial" w:eastAsia="Times New Roman" w:hAnsi="Arial" w:cs="Arial"/>
                <w:sz w:val="20"/>
                <w:szCs w:val="20"/>
                <w:lang w:eastAsia="pl-PL"/>
              </w:rPr>
              <w:t>. zm.) należy przedstawić wyjaśnienie w polu tekstowym a następnie przejść do pytania 4.</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lastRenderedPageBreak/>
        <w:t>3.3</w:t>
      </w:r>
      <w:r w:rsidRPr="00AD2E77">
        <w:rPr>
          <w:rFonts w:ascii="Arial" w:eastAsia="Times New Roman" w:hAnsi="Arial" w:cs="Arial"/>
          <w:sz w:val="20"/>
          <w:szCs w:val="20"/>
          <w:lang w:eastAsia="en-GB"/>
        </w:rPr>
        <w:tab/>
        <w:t>Jeżeli projekt objęty jest załącznikiem I do dyrektywy OOŚ</w:t>
      </w:r>
      <w:r w:rsidRPr="00AD2E77">
        <w:rPr>
          <w:rFonts w:ascii="Arial" w:eastAsia="Times New Roman" w:hAnsi="Arial" w:cs="Times New Roman"/>
          <w:sz w:val="20"/>
          <w:szCs w:val="20"/>
          <w:vertAlign w:val="superscript"/>
          <w:lang w:eastAsia="en-GB"/>
        </w:rPr>
        <w:footnoteReference w:id="5"/>
      </w:r>
      <w:r w:rsidRPr="00AD2E77">
        <w:rPr>
          <w:rFonts w:ascii="Arial" w:eastAsia="Times New Roman" w:hAnsi="Arial" w:cs="Arial"/>
          <w:sz w:val="20"/>
          <w:szCs w:val="20"/>
          <w:lang w:eastAsia="en-GB"/>
        </w:rPr>
        <w:t>, należy załączyć następujące dokumenty i skorzystać z poniższego pola tekstowego w celu przedstawienia dodatkowych informacji i wyjaśnień</w:t>
      </w:r>
      <w:r w:rsidRPr="00AD2E77">
        <w:rPr>
          <w:rFonts w:ascii="Arial" w:eastAsia="Times New Roman" w:hAnsi="Arial" w:cs="Arial"/>
          <w:i/>
          <w:iCs/>
          <w:sz w:val="20"/>
          <w:szCs w:val="20"/>
          <w:vertAlign w:val="superscript"/>
          <w:lang w:eastAsia="en-GB"/>
        </w:rPr>
        <w:footnoteReference w:id="6"/>
      </w:r>
      <w:r w:rsidRPr="00AD2E77">
        <w:rPr>
          <w:rFonts w:ascii="Arial" w:eastAsia="Times New Roman" w:hAnsi="Arial" w:cs="Arial"/>
          <w:i/>
          <w:iCs/>
          <w:sz w:val="20"/>
          <w:szCs w:val="20"/>
          <w:lang w:eastAsia="en-GB"/>
        </w:rPr>
        <w:t>:</w:t>
      </w:r>
      <w:r w:rsidRPr="00AD2E77">
        <w:rPr>
          <w:rFonts w:ascii="Arial" w:eastAsia="Times New Roman" w:hAnsi="Arial" w:cs="Arial"/>
          <w:sz w:val="20"/>
          <w:szCs w:val="20"/>
          <w:lang w:eastAsia="en-GB"/>
        </w:rPr>
        <w:t xml:space="preserve"> </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a)</w:t>
      </w:r>
      <w:r w:rsidRPr="00AD2E77">
        <w:rPr>
          <w:rFonts w:ascii="Arial" w:eastAsia="Times New Roman" w:hAnsi="Arial" w:cs="Arial"/>
          <w:sz w:val="20"/>
          <w:szCs w:val="20"/>
          <w:lang w:eastAsia="en-GB"/>
        </w:rPr>
        <w:tab/>
        <w:t>nietechniczne streszczenie raportu OOŚ</w:t>
      </w:r>
      <w:r w:rsidRPr="00AD2E77">
        <w:rPr>
          <w:rFonts w:ascii="Arial" w:eastAsia="Times New Roman" w:hAnsi="Arial" w:cs="Arial"/>
          <w:sz w:val="20"/>
          <w:szCs w:val="20"/>
          <w:vertAlign w:val="superscript"/>
          <w:lang w:eastAsia="en-GB"/>
        </w:rPr>
        <w:footnoteReference w:id="7"/>
      </w:r>
      <w:r w:rsidRPr="00AD2E77">
        <w:rPr>
          <w:rFonts w:ascii="Arial" w:eastAsia="Times New Roman" w:hAnsi="Arial" w:cs="Arial"/>
          <w:sz w:val="20"/>
          <w:szCs w:val="20"/>
          <w:lang w:eastAsia="en-GB"/>
        </w:rPr>
        <w:t xml:space="preserve"> albo cały raport</w:t>
      </w:r>
      <w:r w:rsidRPr="00AD2E77">
        <w:rPr>
          <w:rFonts w:ascii="Arial" w:eastAsia="Times New Roman" w:hAnsi="Arial" w:cs="Times New Roman"/>
          <w:sz w:val="20"/>
          <w:szCs w:val="20"/>
          <w:vertAlign w:val="superscript"/>
          <w:lang w:eastAsia="en-GB"/>
        </w:rPr>
        <w:footnoteReference w:id="8"/>
      </w:r>
      <w:r w:rsidRPr="00AD2E77">
        <w:rPr>
          <w:rFonts w:ascii="Arial" w:eastAsia="Times New Roman" w:hAnsi="Arial" w:cs="Arial"/>
          <w:sz w:val="20"/>
          <w:szCs w:val="20"/>
          <w:lang w:eastAsia="en-GB"/>
        </w:rPr>
        <w:t xml:space="preserve"> ;</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b)</w:t>
      </w:r>
      <w:r w:rsidRPr="00AD2E77">
        <w:rPr>
          <w:rFonts w:ascii="Arial" w:eastAsia="Times New Roman"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c)</w:t>
      </w:r>
      <w:r w:rsidRPr="00AD2E77">
        <w:rPr>
          <w:rFonts w:ascii="Arial" w:eastAsia="Times New Roman" w:hAnsi="Arial" w:cs="Arial"/>
          <w:sz w:val="20"/>
          <w:szCs w:val="20"/>
          <w:lang w:eastAsia="en-GB"/>
        </w:rPr>
        <w:tab/>
        <w:t>decyzję właściwego organu wydaną zgodnie z art. 8 i 9 dyrektywy OOŚ</w:t>
      </w:r>
      <w:r w:rsidRPr="00AD2E77">
        <w:rPr>
          <w:rFonts w:ascii="Arial" w:eastAsia="Times New Roman" w:hAnsi="Arial" w:cs="Arial"/>
          <w:sz w:val="20"/>
          <w:szCs w:val="20"/>
          <w:vertAlign w:val="superscript"/>
          <w:lang w:eastAsia="en-GB"/>
        </w:rPr>
        <w:footnoteReference w:id="9"/>
      </w:r>
      <w:r w:rsidRPr="00AD2E77">
        <w:rPr>
          <w:rFonts w:ascii="Arial" w:eastAsia="Times New Roman" w:hAnsi="Arial" w:cs="Arial"/>
          <w:sz w:val="20"/>
          <w:szCs w:val="20"/>
          <w:lang w:eastAsia="en-GB"/>
        </w:rPr>
        <w:t>, w tym informacje dotyczące sposobu podania jej do wiadomości publicznej.</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Należy:</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a) załączyć streszczenie w języku niespecjalistycznym raportu OOŚ,</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zgodnie z pkt. 4.2;</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stosowną dokumentację w tym zakresie;</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c) załączyć decyzję o środowiskowych uwarunkowaniach, oraz właściwą w sprawie decyzję wskazaną w art. 72 ust. 1 ustawy OOŚ, wraz z informacją potwierdzającą jej poprawne podanie do publicznej wiadomości (także w przypadku ponownej oceny oddziaływania na środowisko). Przedmiotowa informacja może być przedstawiona w formie oświadczenia albo innej potwierdzającej wykonanie przez organ obowiązku podania rozstrzygnięcia do publicznej wiadomości, o którym mowa w art. 38, 76 ust. 2 i 95 ust. 3 ustawy </w:t>
            </w:r>
            <w:proofErr w:type="spellStart"/>
            <w:r w:rsidRPr="00AD2E77">
              <w:rPr>
                <w:rFonts w:ascii="Arial" w:eastAsia="Times New Roman" w:hAnsi="Arial" w:cs="Arial"/>
                <w:sz w:val="20"/>
                <w:szCs w:val="24"/>
                <w:lang w:eastAsia="pl-PL"/>
              </w:rPr>
              <w:t>ooś</w:t>
            </w:r>
            <w:proofErr w:type="spellEnd"/>
            <w:r w:rsidRPr="00AD2E77">
              <w:rPr>
                <w:rFonts w:ascii="Arial" w:eastAsia="Times New Roman" w:hAnsi="Arial" w:cs="Arial"/>
                <w:sz w:val="20"/>
                <w:szCs w:val="24"/>
                <w:lang w:eastAsia="pl-PL"/>
              </w:rPr>
              <w:t xml:space="preserve">. W przypadku znacznej liczby </w:t>
            </w:r>
            <w:proofErr w:type="spellStart"/>
            <w:r w:rsidRPr="00AD2E77">
              <w:rPr>
                <w:rFonts w:ascii="Arial" w:eastAsia="Times New Roman" w:hAnsi="Arial" w:cs="Arial"/>
                <w:sz w:val="20"/>
                <w:szCs w:val="24"/>
                <w:lang w:eastAsia="pl-PL"/>
              </w:rPr>
              <w:t>obwieszczeń</w:t>
            </w:r>
            <w:proofErr w:type="spellEnd"/>
            <w:r w:rsidRPr="00AD2E77">
              <w:rPr>
                <w:rFonts w:ascii="Arial" w:eastAsia="Times New Roman" w:hAnsi="Arial" w:cs="Arial"/>
                <w:sz w:val="20"/>
                <w:szCs w:val="24"/>
                <w:lang w:eastAsia="pl-PL"/>
              </w:rPr>
              <w:t xml:space="preserve"> sposób podania do publicznej wiadomości obu decyzji można przedstawić w formie tabelarycznej.</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lastRenderedPageBreak/>
        <w:t xml:space="preserve">3.4 </w:t>
      </w:r>
      <w:r w:rsidRPr="00AD2E77">
        <w:rPr>
          <w:rFonts w:ascii="Arial" w:eastAsia="Times New Roman" w:hAnsi="Arial" w:cs="Arial"/>
          <w:sz w:val="20"/>
          <w:szCs w:val="20"/>
          <w:lang w:eastAsia="en-GB"/>
        </w:rPr>
        <w:tab/>
        <w:t>Jeżeli projekt objęty jest załącznikiem II do przedmiotowej dyrektywy</w:t>
      </w:r>
      <w:r w:rsidRPr="00AD2E77">
        <w:rPr>
          <w:rFonts w:ascii="Arial" w:eastAsia="Times New Roman" w:hAnsi="Arial" w:cs="Times New Roman"/>
          <w:sz w:val="20"/>
          <w:szCs w:val="20"/>
          <w:vertAlign w:val="superscript"/>
          <w:lang w:eastAsia="en-GB"/>
        </w:rPr>
        <w:footnoteReference w:id="10"/>
      </w:r>
      <w:r w:rsidRPr="00AD2E77">
        <w:rPr>
          <w:rFonts w:ascii="Arial" w:eastAsia="Times New Roman"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AD2E77" w:rsidRPr="00AD2E77" w:rsidTr="00DE1BA2">
        <w:trPr>
          <w:cantSplit/>
          <w:jc w:val="center"/>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„Tak”, należy załączyć dokumenty wskazane w pkt 3.3.</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„nie”, należy podać następujące informacje:</w:t>
      </w:r>
    </w:p>
    <w:p w:rsidR="00AD2E77" w:rsidRPr="00AD2E77" w:rsidRDefault="00AD2E77" w:rsidP="00AD2E77">
      <w:pPr>
        <w:spacing w:before="120" w:after="120" w:line="240" w:lineRule="auto"/>
        <w:ind w:left="1984"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a)</w:t>
      </w:r>
      <w:r w:rsidRPr="00AD2E77">
        <w:rPr>
          <w:rFonts w:ascii="Arial" w:eastAsia="Times New Roman" w:hAnsi="Arial" w:cs="Arial"/>
          <w:sz w:val="20"/>
          <w:szCs w:val="20"/>
          <w:lang w:eastAsia="en-GB"/>
        </w:rPr>
        <w:tab/>
        <w:t>ustalenie wymagane w art. 4 ust. 4 dyrektywy OOŚ (w formie określanej mianem „decyzji dotyczącej preselekcji” lub</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0"/>
          <w:lang w:eastAsia="en-GB"/>
        </w:rPr>
        <w:t>decyzji „</w:t>
      </w:r>
      <w:proofErr w:type="spellStart"/>
      <w:r w:rsidRPr="00AD2E77">
        <w:rPr>
          <w:rFonts w:ascii="Arial" w:eastAsia="Times New Roman" w:hAnsi="Arial" w:cs="Arial"/>
          <w:sz w:val="20"/>
          <w:szCs w:val="20"/>
          <w:lang w:eastAsia="en-GB"/>
        </w:rPr>
        <w:t>screeningowej</w:t>
      </w:r>
      <w:proofErr w:type="spellEnd"/>
      <w:r w:rsidRPr="00AD2E77">
        <w:rPr>
          <w:rFonts w:ascii="Arial" w:eastAsia="Times New Roman" w:hAnsi="Arial" w:cs="Arial"/>
          <w:sz w:val="20"/>
          <w:szCs w:val="20"/>
          <w:lang w:eastAsia="en-GB"/>
        </w:rPr>
        <w:t>”);</w:t>
      </w:r>
    </w:p>
    <w:p w:rsidR="00AD2E77" w:rsidRPr="00AD2E77" w:rsidRDefault="00AD2E77" w:rsidP="00AD2E77">
      <w:pPr>
        <w:spacing w:before="120" w:after="120" w:line="240" w:lineRule="auto"/>
        <w:ind w:left="1984"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b)</w:t>
      </w:r>
      <w:r w:rsidRPr="00AD2E77">
        <w:rPr>
          <w:rFonts w:ascii="Arial" w:eastAsia="Times New Roman"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AD2E77" w:rsidRPr="00AD2E77" w:rsidRDefault="00AD2E77" w:rsidP="00AD2E77">
      <w:pPr>
        <w:spacing w:before="120" w:after="120" w:line="240" w:lineRule="auto"/>
        <w:ind w:left="1984"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c)</w:t>
      </w:r>
      <w:r w:rsidRPr="00AD2E77">
        <w:rPr>
          <w:rFonts w:ascii="Arial" w:eastAsia="Times New Roman" w:hAnsi="Arial" w:cs="Arial"/>
          <w:sz w:val="20"/>
          <w:szCs w:val="20"/>
          <w:lang w:eastAsia="en-GB"/>
        </w:rPr>
        <w:tab/>
        <w:t xml:space="preserve">wyjaśnienie powodów, dla których projekt nie ma znaczących skutków środowiskowych, biorąc pod uwagę odpowiednie kryteria selekcji określone </w:t>
      </w:r>
      <w:r w:rsidRPr="00AD2E77">
        <w:rPr>
          <w:rFonts w:ascii="Arial" w:eastAsia="Times New Roman" w:hAnsi="Arial" w:cs="Arial"/>
          <w:sz w:val="20"/>
          <w:szCs w:val="20"/>
          <w:lang w:eastAsia="en-GB"/>
        </w:rPr>
        <w:br/>
        <w:t>w załączniku III do dyrektywy OOŚ (nie ma konieczności przedstawienia przedmiotowych informacji, jeżeli zawarto je już w decyzji wspomnianej w pkt a) powyżej).</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punkcie 3.4.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AD2E77" w:rsidRPr="00AD2E77" w:rsidRDefault="00AD2E77" w:rsidP="00AD2E77">
            <w:pPr>
              <w:numPr>
                <w:ilvl w:val="0"/>
                <w:numId w:val="3"/>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zostało przeprowadzone – należy zaznaczyć kwadrat TAK oraz dołączyć stosowne dokumenty wskazane w punkcie 3.3.;</w:t>
            </w:r>
          </w:p>
          <w:p w:rsidR="00AD2E77" w:rsidRPr="00AD2E77" w:rsidRDefault="00AD2E77" w:rsidP="00AD2E77">
            <w:pPr>
              <w:numPr>
                <w:ilvl w:val="0"/>
                <w:numId w:val="3"/>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nie zostało przeprowadzone – należy zaznaczyć kwadrat NIE, podać wyjaśnienie oraz dołączyć stosowne dokumenty wykazane w podpunktach a, b i c.</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4"/>
                <w:lang w:eastAsia="pl-PL"/>
              </w:rPr>
              <w:t>Przez „decyzję dotyczącą preselekcji” lub „decyzję</w:t>
            </w:r>
            <w:r w:rsidRPr="00AD2E77">
              <w:rPr>
                <w:rFonts w:ascii="Times New Roman" w:eastAsia="Times New Roman" w:hAnsi="Times New Roman" w:cs="Times New Roman"/>
                <w:sz w:val="20"/>
                <w:szCs w:val="24"/>
                <w:lang w:eastAsia="pl-PL"/>
              </w:rPr>
              <w:t xml:space="preserve"> „</w:t>
            </w:r>
            <w:proofErr w:type="spellStart"/>
            <w:r w:rsidRPr="00AD2E77">
              <w:rPr>
                <w:rFonts w:ascii="Arial" w:eastAsia="Times New Roman" w:hAnsi="Arial" w:cs="Arial"/>
                <w:sz w:val="20"/>
                <w:szCs w:val="24"/>
                <w:lang w:eastAsia="pl-PL"/>
              </w:rPr>
              <w:t>screeningową</w:t>
            </w:r>
            <w:proofErr w:type="spellEnd"/>
            <w:r w:rsidRPr="00AD2E77">
              <w:rPr>
                <w:rFonts w:ascii="Arial" w:eastAsia="Times New Roman" w:hAnsi="Arial" w:cs="Arial"/>
                <w:sz w:val="20"/>
                <w:szCs w:val="24"/>
                <w:lang w:eastAsia="pl-PL"/>
              </w:rPr>
              <w:t>” należy rozumieć</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 xml:space="preserve">postanowienie </w:t>
            </w:r>
            <w:r w:rsidRPr="00AD2E77">
              <w:rPr>
                <w:rFonts w:ascii="Arial" w:eastAsia="Times New Roman" w:hAnsi="Arial" w:cs="Arial"/>
                <w:sz w:val="20"/>
                <w:szCs w:val="24"/>
                <w:lang w:eastAsia="pl-PL"/>
              </w:rPr>
              <w:br/>
              <w:t>o braku konieczności przeprowadzenia oceny oddziaływania na środowisko.</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3.5</w:t>
      </w:r>
      <w:r w:rsidRPr="00AD2E77">
        <w:rPr>
          <w:rFonts w:ascii="Arial" w:eastAsia="Times New Roman" w:hAnsi="Arial" w:cs="Arial"/>
          <w:i/>
          <w:iCs/>
          <w:sz w:val="20"/>
          <w:szCs w:val="20"/>
          <w:lang w:eastAsia="en-GB"/>
        </w:rPr>
        <w:t xml:space="preserve"> </w:t>
      </w:r>
      <w:r w:rsidRPr="00AD2E77">
        <w:rPr>
          <w:rFonts w:ascii="Arial" w:eastAsia="Times New Roman"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numPr>
                <w:ilvl w:val="0"/>
                <w:numId w:val="7"/>
              </w:num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Przez pojęcie </w:t>
            </w:r>
            <w:r w:rsidRPr="00AD2E77">
              <w:rPr>
                <w:rFonts w:ascii="Arial" w:eastAsia="Times New Roman" w:hAnsi="Arial" w:cs="Arial"/>
                <w:b/>
                <w:sz w:val="20"/>
                <w:szCs w:val="24"/>
                <w:lang w:eastAsia="pl-PL"/>
              </w:rPr>
              <w:t>„zezwolenie na inwestycję”</w:t>
            </w:r>
            <w:r w:rsidRPr="00AD2E77">
              <w:rPr>
                <w:rFonts w:ascii="Arial" w:eastAsia="Times New Roman" w:hAnsi="Arial" w:cs="Arial"/>
                <w:sz w:val="20"/>
                <w:szCs w:val="24"/>
                <w:lang w:eastAsia="pl-PL"/>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AD2E77">
              <w:rPr>
                <w:rFonts w:ascii="Times New Roman" w:eastAsia="Times New Roman" w:hAnsi="Times New Roman" w:cs="Times New Roman"/>
                <w:sz w:val="24"/>
                <w:szCs w:val="24"/>
                <w:lang w:eastAsia="pl-PL"/>
              </w:rPr>
              <w:t xml:space="preserve"> </w:t>
            </w:r>
          </w:p>
          <w:p w:rsidR="00AD2E77" w:rsidRPr="00AD2E77" w:rsidRDefault="00AD2E77" w:rsidP="00AD2E77">
            <w:pPr>
              <w:numPr>
                <w:ilvl w:val="0"/>
                <w:numId w:val="7"/>
              </w:num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Jednakże według stanowiska Komisji Europejskiej (wyrażonego w piśmie z 20.10.2009 r. znak: DG REGIO.H1/MT/</w:t>
            </w:r>
            <w:proofErr w:type="spellStart"/>
            <w:r w:rsidRPr="00AD2E77">
              <w:rPr>
                <w:rFonts w:ascii="Arial" w:eastAsia="Times New Roman" w:hAnsi="Arial" w:cs="Arial"/>
                <w:sz w:val="20"/>
                <w:szCs w:val="24"/>
                <w:lang w:eastAsia="pl-PL"/>
              </w:rPr>
              <w:t>spD</w:t>
            </w:r>
            <w:proofErr w:type="spellEnd"/>
            <w:r w:rsidRPr="00AD2E77">
              <w:rPr>
                <w:rFonts w:ascii="Arial" w:eastAsia="Times New Roman" w:hAnsi="Arial" w:cs="Arial"/>
                <w:sz w:val="20"/>
                <w:szCs w:val="24"/>
                <w:lang w:eastAsia="pl-PL"/>
              </w:rPr>
              <w:t xml:space="preserve">(2009) 880600), pojęcie </w:t>
            </w:r>
            <w:r w:rsidRPr="00AD2E77">
              <w:rPr>
                <w:rFonts w:ascii="Arial" w:eastAsia="Times New Roman" w:hAnsi="Arial" w:cs="Arial"/>
                <w:b/>
                <w:sz w:val="20"/>
                <w:szCs w:val="24"/>
                <w:lang w:eastAsia="pl-PL"/>
              </w:rPr>
              <w:t>„zezwolenie na inwestycję”</w:t>
            </w:r>
            <w:r w:rsidRPr="00AD2E77">
              <w:rPr>
                <w:rFonts w:ascii="Arial" w:eastAsia="Times New Roman" w:hAnsi="Arial" w:cs="Arial"/>
                <w:sz w:val="20"/>
                <w:szCs w:val="24"/>
                <w:lang w:eastAsia="pl-PL"/>
              </w:rPr>
              <w:t xml:space="preserve"> w rozumieniu formularza OOŚ należy interpretować jako instrument dla sprawdzenia gotowości projektu do ubiegania się o dofinansowanie (niezależnie od tego czy ocena oddziaływania na środowisko była prowadzona, czy też nie).</w:t>
            </w:r>
          </w:p>
          <w:p w:rsidR="00AD2E77" w:rsidRPr="00AD2E77" w:rsidRDefault="00AD2E77" w:rsidP="00AD2E77">
            <w:pPr>
              <w:spacing w:after="0" w:line="240" w:lineRule="auto"/>
              <w:ind w:left="708"/>
              <w:rPr>
                <w:rFonts w:ascii="Arial" w:eastAsia="Times New Roman" w:hAnsi="Arial" w:cs="Arial"/>
                <w:sz w:val="20"/>
                <w:szCs w:val="24"/>
                <w:lang w:eastAsia="pl-PL"/>
              </w:rPr>
            </w:pPr>
            <w:r w:rsidRPr="00AD2E77">
              <w:rPr>
                <w:rFonts w:ascii="Arial" w:eastAsia="Times New Roman" w:hAnsi="Arial" w:cs="Arial"/>
                <w:sz w:val="20"/>
                <w:szCs w:val="24"/>
                <w:lang w:eastAsia="pl-PL"/>
              </w:rPr>
              <w:lastRenderedPageBreak/>
              <w:t xml:space="preserve">Dlatego </w:t>
            </w:r>
            <w:r w:rsidRPr="00AD2E77">
              <w:rPr>
                <w:rFonts w:ascii="Arial" w:eastAsia="Times New Roman" w:hAnsi="Arial" w:cs="Arial"/>
                <w:b/>
                <w:sz w:val="20"/>
                <w:szCs w:val="24"/>
                <w:lang w:eastAsia="pl-PL"/>
              </w:rPr>
              <w:t>„zezwoleniem na inwestycję”</w:t>
            </w:r>
            <w:r w:rsidRPr="00AD2E77">
              <w:rPr>
                <w:rFonts w:ascii="Arial" w:eastAsia="Times New Roman" w:hAnsi="Arial" w:cs="Arial"/>
                <w:sz w:val="20"/>
                <w:szCs w:val="24"/>
                <w:lang w:eastAsia="pl-PL"/>
              </w:rPr>
              <w:t xml:space="preserve"> w ww. znaczeniu są w szczególności zbiory decyzji obejmujące decyzje wymienione w art. 72 ust. 1 w tym „decyzje budowlane” lub zgłoszenia wymienione w art. 72 ust. 1a ustawy OOŚ.</w:t>
            </w:r>
          </w:p>
          <w:p w:rsidR="00AD2E77" w:rsidRPr="00AD2E77" w:rsidRDefault="00AD2E77" w:rsidP="00AD2E77">
            <w:pPr>
              <w:spacing w:after="0" w:line="240" w:lineRule="auto"/>
              <w:ind w:left="708"/>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Wobec powyższego </w:t>
            </w:r>
            <w:r w:rsidRPr="00AD2E77">
              <w:rPr>
                <w:rFonts w:ascii="Arial" w:eastAsia="Times New Roman" w:hAnsi="Arial" w:cs="Arial"/>
                <w:sz w:val="20"/>
                <w:szCs w:val="24"/>
                <w:lang w:val="x-none" w:eastAsia="pl-PL"/>
              </w:rPr>
              <w:t>ilekroć w niniejszym dokumencie jest mowa o „</w:t>
            </w:r>
            <w:r w:rsidRPr="00AD2E77">
              <w:rPr>
                <w:rFonts w:ascii="Arial" w:eastAsia="Times New Roman" w:hAnsi="Arial" w:cs="Arial"/>
                <w:sz w:val="20"/>
                <w:szCs w:val="24"/>
                <w:lang w:eastAsia="pl-PL"/>
              </w:rPr>
              <w:t>zezwoleniu na inwestycję/</w:t>
            </w:r>
            <w:r w:rsidRPr="00AD2E77">
              <w:rPr>
                <w:rFonts w:ascii="Arial" w:eastAsia="Times New Roman" w:hAnsi="Arial" w:cs="Arial"/>
                <w:sz w:val="20"/>
                <w:szCs w:val="24"/>
                <w:lang w:val="x-none" w:eastAsia="pl-PL"/>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AD2E77">
              <w:rPr>
                <w:rFonts w:ascii="Arial" w:eastAsia="Times New Roman" w:hAnsi="Arial" w:cs="Arial"/>
                <w:sz w:val="20"/>
                <w:szCs w:val="24"/>
                <w:lang w:eastAsia="pl-PL"/>
              </w:rPr>
              <w:t xml:space="preserve"> (w takiej sytuacji zaleca się wskazanie tej okoliczności w treści niniejszego formularza w polu tekstowym 3.5.3).</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3.5.1.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r w:rsidRPr="00AD2E77">
              <w:rPr>
                <w:rFonts w:ascii="Arial" w:eastAsia="Times New Roman"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3.5.2. Czy udzielono już zezwolenia na inwestycję/pozwolenia na budowę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r w:rsidRPr="00AD2E77">
              <w:rPr>
                <w:rFonts w:ascii="Arial" w:eastAsia="Times New Roman"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b/>
          <w:bCs/>
          <w:sz w:val="20"/>
          <w:szCs w:val="20"/>
          <w:lang w:eastAsia="en-GB"/>
        </w:rPr>
      </w:pPr>
      <w:r w:rsidRPr="00AD2E77">
        <w:rPr>
          <w:rFonts w:ascii="Arial" w:eastAsia="Times New Roman" w:hAnsi="Arial" w:cs="Arial"/>
          <w:b/>
          <w:bCs/>
          <w:sz w:val="20"/>
          <w:szCs w:val="20"/>
          <w:lang w:eastAsia="en-GB"/>
        </w:rPr>
        <w:t>*Komisja Europejska nie dopuszcza projektów znajdujących się na etapie budowy (odpowiedź „Tak” na pytanie w punkcie 3.5.1.), w przypadku których nie posiadano zezwolenia na inwestycje/pozwolenia na budowę w odniesieniu do co najmniej jednego zamówienia na roboty budowlane w momencie przedstawienia ich Komisji Europejskiej</w:t>
      </w:r>
    </w:p>
    <w:p w:rsidR="00AD2E77" w:rsidRPr="00AD2E77" w:rsidRDefault="00AD2E77" w:rsidP="00AD2E77">
      <w:pPr>
        <w:spacing w:before="120" w:after="120" w:line="240" w:lineRule="auto"/>
        <w:jc w:val="both"/>
        <w:rPr>
          <w:rFonts w:ascii="Arial" w:eastAsia="Times New Roman"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punkcie 3.5.1 oraz 3.5.2 oczekuje się informacji potwierdzającej, że w przypadku rozpoczęcia robót budowlanych poprzedzone one zostały stosowną procedurą zezwolenia na inwestycję. </w:t>
            </w:r>
          </w:p>
          <w:p w:rsidR="00AD2E77" w:rsidRPr="00AD2E77" w:rsidRDefault="00AD2E77" w:rsidP="00AD2E77">
            <w:pPr>
              <w:spacing w:after="0" w:line="240" w:lineRule="auto"/>
              <w:rPr>
                <w:rFonts w:ascii="Arial" w:eastAsia="Times New Roman" w:hAnsi="Arial" w:cs="Arial"/>
                <w:sz w:val="20"/>
                <w:szCs w:val="20"/>
                <w:lang w:eastAsia="pl-PL"/>
              </w:rPr>
            </w:pP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UWAGA: W punkcie 3.5.1 poprzez „co najmniej jedno zamówienie na roboty budowlane” rozumie się podpisaną umowę na roboty budowlane w ramach, której rozpoczęto realizację robót budowlanych,</w:t>
            </w:r>
            <w:r w:rsidRPr="00AD2E77" w:rsidDel="005E6418">
              <w:rPr>
                <w:rFonts w:ascii="Arial" w:eastAsia="Times New Roman" w:hAnsi="Arial" w:cs="Arial"/>
                <w:sz w:val="20"/>
                <w:szCs w:val="20"/>
                <w:lang w:eastAsia="pl-PL"/>
              </w:rPr>
              <w:t xml:space="preserve">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przypadku zgłoszenia robót budowlanych wniosek wypełnia się analogicznie .</w:t>
            </w:r>
          </w:p>
        </w:tc>
      </w:tr>
    </w:tbl>
    <w:p w:rsidR="00AD2E77" w:rsidRPr="00AD2E77" w:rsidRDefault="00AD2E77" w:rsidP="00AD2E77">
      <w:pPr>
        <w:spacing w:before="120" w:after="120" w:line="240" w:lineRule="auto"/>
        <w:jc w:val="both"/>
        <w:rPr>
          <w:rFonts w:ascii="Arial" w:eastAsia="Times New Roman" w:hAnsi="Arial" w:cs="Arial"/>
          <w:b/>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3.5.3.</w:t>
      </w:r>
      <w:r w:rsidRPr="00AD2E77">
        <w:rPr>
          <w:rFonts w:ascii="Arial" w:eastAsia="Times New Roman" w:hAnsi="Arial" w:cs="Arial"/>
          <w:sz w:val="20"/>
          <w:szCs w:val="20"/>
          <w:lang w:eastAsia="en-GB"/>
        </w:rPr>
        <w:tab/>
        <w:t>Jeżeli zaznaczono odpowiedź „Tak” (na pytanie 3.5.2), należy podać datę.</w:t>
      </w:r>
    </w:p>
    <w:p w:rsidR="00AD2E77" w:rsidRPr="00AD2E77" w:rsidRDefault="00AD2E77" w:rsidP="00AD2E77">
      <w:pPr>
        <w:pBdr>
          <w:top w:val="single" w:sz="4" w:space="1" w:color="auto" w:shadow="1"/>
          <w:left w:val="single" w:sz="4" w:space="4" w:color="auto" w:shadow="1"/>
          <w:bottom w:val="single" w:sz="4" w:space="1" w:color="auto" w:shadow="1"/>
          <w:right w:val="single" w:sz="4" w:space="4" w:color="auto" w:shadow="1"/>
        </w:pBdr>
        <w:spacing w:before="120" w:after="120" w:line="240" w:lineRule="auto"/>
        <w:jc w:val="both"/>
        <w:outlineLvl w:val="0"/>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Times New Roman" w:eastAsia="Times New Roman" w:hAnsi="Times New Roman" w:cs="Arial"/>
                <w:sz w:val="20"/>
                <w:szCs w:val="20"/>
                <w:lang w:eastAsia="pl-PL"/>
              </w:rPr>
            </w:pPr>
            <w:r w:rsidRPr="00AD2E77">
              <w:rPr>
                <w:rFonts w:ascii="Arial" w:eastAsia="Times New Roman" w:hAnsi="Arial" w:cs="Arial"/>
                <w:sz w:val="20"/>
                <w:szCs w:val="20"/>
                <w:lang w:eastAsia="en-GB"/>
              </w:rPr>
              <w:t xml:space="preserve">Należy wymienić uzyskane decyzje budowlane wskazując jednocześnie datę, sygnaturę, organ wydający oraz przedmiot każdej z decyzji. W przypadku gdy roboty budowlane są realizowane na podstawie zgłoszenia należy podać datę zgłoszenia (tj. datę wpływu do organu) i właściwy organ oraz </w:t>
            </w:r>
            <w:r w:rsidRPr="00AD2E77">
              <w:rPr>
                <w:rFonts w:ascii="Arial" w:eastAsia="Times New Roman" w:hAnsi="Arial" w:cs="Arial"/>
                <w:sz w:val="20"/>
                <w:szCs w:val="24"/>
                <w:lang w:eastAsia="pl-PL"/>
              </w:rPr>
              <w:t>datę upływu terminu na zgłoszenie sprzeciwu przez organ.</w:t>
            </w:r>
            <w:r w:rsidRPr="00AD2E77">
              <w:rPr>
                <w:rFonts w:ascii="Arial" w:eastAsia="Times New Roman" w:hAnsi="Arial" w:cs="Arial"/>
                <w:sz w:val="20"/>
                <w:szCs w:val="20"/>
                <w:lang w:eastAsia="en-GB"/>
              </w:rPr>
              <w:t xml:space="preserve"> </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Times New Roman"/>
          <w:sz w:val="20"/>
          <w:szCs w:val="24"/>
          <w:lang w:eastAsia="pl-PL"/>
        </w:rPr>
        <w:t>3.5.4.</w:t>
      </w:r>
      <w:r w:rsidRPr="00AD2E77">
        <w:rPr>
          <w:rFonts w:ascii="Arial" w:eastAsia="Times New Roman" w:hAnsi="Arial" w:cs="Times New Roman"/>
          <w:sz w:val="20"/>
          <w:szCs w:val="24"/>
          <w:lang w:eastAsia="pl-PL"/>
        </w:rPr>
        <w:tab/>
      </w:r>
      <w:r w:rsidRPr="00AD2E77">
        <w:rPr>
          <w:rFonts w:ascii="Arial" w:eastAsia="Times New Roman" w:hAnsi="Arial" w:cs="Arial"/>
          <w:sz w:val="20"/>
          <w:szCs w:val="20"/>
          <w:lang w:eastAsia="en-GB"/>
        </w:rPr>
        <w:t xml:space="preserve">Jeżeli zaznaczono odpowiedź „Nie” (na pytanie 3.5.2), należy podać datę złożenia oficjalnego wniosku o zezwolenie na inwestycję/decyzję budowlaną: </w:t>
      </w:r>
    </w:p>
    <w:p w:rsidR="00AD2E77" w:rsidRPr="00AD2E77" w:rsidRDefault="00AD2E77" w:rsidP="00AD2E77">
      <w:pPr>
        <w:pBdr>
          <w:top w:val="single" w:sz="4" w:space="1" w:color="auto" w:shadow="1"/>
          <w:left w:val="single" w:sz="4" w:space="4" w:color="auto" w:shadow="1"/>
          <w:bottom w:val="single" w:sz="4" w:space="1" w:color="auto" w:shadow="1"/>
          <w:right w:val="single" w:sz="4" w:space="4" w:color="auto" w:shadow="1"/>
        </w:pBdr>
        <w:spacing w:before="120" w:after="120" w:line="240" w:lineRule="auto"/>
        <w:jc w:val="both"/>
        <w:outlineLvl w:val="0"/>
        <w:rPr>
          <w:rFonts w:ascii="Arial" w:eastAsia="Times New Roman" w:hAnsi="Arial" w:cs="Times New Roman"/>
          <w:sz w:val="20"/>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lastRenderedPageBreak/>
              <w:t>Instrukcja</w:t>
            </w:r>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Times New Roman" w:eastAsia="Times New Roman" w:hAnsi="Times New Roman" w:cs="Arial"/>
                <w:sz w:val="20"/>
                <w:szCs w:val="20"/>
                <w:lang w:eastAsia="pl-PL"/>
              </w:rPr>
            </w:pPr>
            <w:r w:rsidRPr="00AD2E77">
              <w:rPr>
                <w:rFonts w:ascii="Arial" w:eastAsia="Times New Roman" w:hAnsi="Arial" w:cs="Times New Roman"/>
                <w:sz w:val="20"/>
                <w:szCs w:val="24"/>
                <w:lang w:eastAsia="pl-PL"/>
              </w:rPr>
              <w:t xml:space="preserve">Należy podać daty wniosków oraz wskazać organy, do których złożono wnioski o </w:t>
            </w:r>
            <w:r w:rsidRPr="00AD2E77">
              <w:rPr>
                <w:rFonts w:ascii="Arial" w:eastAsia="Times New Roman" w:hAnsi="Arial" w:cs="Arial"/>
                <w:sz w:val="20"/>
                <w:szCs w:val="20"/>
                <w:lang w:eastAsia="en-GB"/>
              </w:rPr>
              <w:t>zezwolenie na inwestycję/decyzję budowlaną</w:t>
            </w:r>
            <w:r w:rsidRPr="00AD2E77">
              <w:rPr>
                <w:rFonts w:ascii="Arial" w:eastAsia="Times New Roman" w:hAnsi="Arial" w:cs="Times New Roman"/>
                <w:sz w:val="20"/>
                <w:szCs w:val="24"/>
                <w:lang w:eastAsia="pl-PL"/>
              </w:rPr>
              <w:t>.</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3.5.5.</w:t>
      </w:r>
      <w:r w:rsidRPr="00AD2E77">
        <w:rPr>
          <w:rFonts w:ascii="Arial" w:eastAsia="Times New Roman" w:hAnsi="Arial" w:cs="Arial"/>
          <w:sz w:val="20"/>
          <w:szCs w:val="20"/>
          <w:lang w:eastAsia="en-GB"/>
        </w:rPr>
        <w:tab/>
        <w:t>Jeżeli zaznaczono odpowiedź „Nie” (na pytanie 3.5.2.), należy określić przeprowadzone dotychczas czynności administracyjne i opisać te, które pozostały do przeprowadzenia:</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after="120" w:line="240" w:lineRule="auto"/>
        <w:jc w:val="both"/>
        <w:rPr>
          <w:rFonts w:ascii="Arial" w:eastAsia="Times New Roman" w:hAnsi="Arial" w:cs="Arial"/>
          <w:b/>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Arial" w:eastAsia="Times New Roman" w:hAnsi="Arial" w:cs="Arial"/>
          <w:sz w:val="20"/>
          <w:szCs w:val="20"/>
          <w:lang w:eastAsia="en-GB"/>
        </w:rPr>
      </w:pPr>
      <w:r w:rsidRPr="00AD2E77">
        <w:rPr>
          <w:rFonts w:ascii="Arial" w:eastAsia="Times New Roman" w:hAnsi="Arial" w:cs="Arial"/>
          <w:b/>
          <w:sz w:val="20"/>
          <w:szCs w:val="20"/>
          <w:lang w:eastAsia="en-GB"/>
        </w:rPr>
        <w:t>Instrukcja</w:t>
      </w:r>
      <w:r w:rsidRPr="00AD2E77">
        <w:rPr>
          <w:rFonts w:ascii="Arial" w:eastAsia="Times New Roman" w:hAnsi="Arial" w:cs="Arial"/>
          <w:sz w:val="20"/>
          <w:szCs w:val="20"/>
          <w:lang w:eastAsia="en-GB"/>
        </w:rPr>
        <w:t>:</w:t>
      </w:r>
    </w:p>
    <w:p w:rsidR="00AD2E77" w:rsidRPr="00AD2E77" w:rsidRDefault="00AD2E77" w:rsidP="00AD2E7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inwestycje/decyzji budowlanych. </w:t>
      </w:r>
    </w:p>
    <w:p w:rsidR="00AD2E77" w:rsidRPr="00AD2E77" w:rsidRDefault="00AD2E77" w:rsidP="00AD2E7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Wskazać należy czynności administracyjne niezbędne do wykonania w celu uzyskania ostatecznego zezwolenia na inwestycję/decyzji budowlanej (lub ostatecznych zezwoleń na inwestycje/decyzji budowlanych).</w:t>
      </w:r>
    </w:p>
    <w:p w:rsidR="00AD2E77" w:rsidRPr="00AD2E77" w:rsidRDefault="00AD2E77" w:rsidP="00AD2E77">
      <w:pPr>
        <w:keepNext/>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3.5.6.</w:t>
      </w:r>
      <w:r w:rsidRPr="00AD2E77">
        <w:rPr>
          <w:rFonts w:ascii="Arial" w:eastAsia="Times New Roman" w:hAnsi="Arial" w:cs="Arial"/>
          <w:sz w:val="20"/>
          <w:szCs w:val="20"/>
          <w:lang w:eastAsia="en-GB"/>
        </w:rPr>
        <w:tab/>
        <w:t>Kiedy oczekuje się wydania ostatecznego zezwolenia na inwestycję/decyzji budowlanej (lub ostatecznych zezwoleń na inwestycje/decyzji budowlanych)?</w:t>
      </w:r>
    </w:p>
    <w:p w:rsidR="00AD2E77" w:rsidRPr="00AD2E77" w:rsidRDefault="00AD2E77" w:rsidP="00AD2E77">
      <w:pPr>
        <w:pBdr>
          <w:top w:val="single" w:sz="4" w:space="1" w:color="auto" w:shadow="1"/>
          <w:left w:val="single" w:sz="4" w:space="4" w:color="auto" w:shadow="1"/>
          <w:bottom w:val="single" w:sz="4" w:space="1" w:color="auto" w:shadow="1"/>
          <w:right w:val="single" w:sz="4" w:space="4" w:color="auto" w:shadow="1"/>
        </w:pBdr>
        <w:spacing w:before="120" w:after="120" w:line="240" w:lineRule="auto"/>
        <w:jc w:val="both"/>
        <w:outlineLvl w:val="0"/>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Należy podać przewidywane daty uzyskania decyzji budowlanych oraz daty upływu terminu wniesienia sprzeciwu przez organ, do którego zgłoszono roboty budowlane w rozumieniu art. 30 Prawa budowlanego (zgodnie z przyjętym harmonogramem dla projektu). Należy zwrócić uwagę na spójność prezentowanych danych z pozostałą częścią formularza.</w:t>
            </w:r>
          </w:p>
          <w:p w:rsidR="00AD2E77" w:rsidRPr="00AD2E77" w:rsidRDefault="00AD2E77" w:rsidP="00AD2E77">
            <w:pPr>
              <w:spacing w:after="0" w:line="240" w:lineRule="auto"/>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Jeżeli, w pkt. 3.5.1 i 3.5.2 zaznaczono odpowiedź "TAK" wobec uzyskania przynajmniej jednego zezwolenia na inwestycję/decyzji budowlanej, ale planuje się uzyskiwanie jeszcze kolejnych, to w niniejszym punkcie należy wskazać kiedy zostały lub będą złożone wnioski na pozostałe zezwolenia na inwestycje/decyzje budowlane oraz kiedy planowane jest ich uzyskanie.</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3.5.7.</w:t>
      </w:r>
      <w:r w:rsidRPr="00AD2E77">
        <w:rPr>
          <w:rFonts w:ascii="Arial" w:eastAsia="Times New Roman" w:hAnsi="Arial" w:cs="Arial"/>
          <w:sz w:val="20"/>
          <w:szCs w:val="20"/>
          <w:lang w:eastAsia="en-GB"/>
        </w:rPr>
        <w:tab/>
        <w:t>Należy określić właściwy organ (lub właściwe organy), który wydał lub wyda zezwolenie na inwestycję/</w:t>
      </w:r>
      <w:r w:rsidRPr="00AD2E77">
        <w:rPr>
          <w:rFonts w:ascii="Arial" w:eastAsia="Times New Roman" w:hAnsi="Arial" w:cs="Arial"/>
          <w:sz w:val="20"/>
          <w:szCs w:val="20"/>
          <w:lang w:eastAsia="pl-PL"/>
        </w:rPr>
        <w:t>decyzję budowlaną</w:t>
      </w:r>
      <w:r w:rsidRPr="00AD2E77">
        <w:rPr>
          <w:rFonts w:ascii="Arial" w:eastAsia="Times New Roman" w:hAnsi="Arial" w:cs="Arial"/>
          <w:sz w:val="20"/>
          <w:szCs w:val="20"/>
          <w:lang w:eastAsia="en-GB"/>
        </w:rPr>
        <w:t>:</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pl-PL"/>
              </w:rPr>
              <w:t xml:space="preserve">Należy wskazać organ, który wyda/wydał </w:t>
            </w:r>
            <w:r w:rsidRPr="00AD2E77">
              <w:rPr>
                <w:rFonts w:ascii="Arial" w:eastAsia="Times New Roman" w:hAnsi="Arial" w:cs="Arial"/>
                <w:sz w:val="20"/>
                <w:szCs w:val="20"/>
                <w:lang w:eastAsia="en-GB"/>
              </w:rPr>
              <w:t>zezwolenie na inwestycje/</w:t>
            </w:r>
            <w:r w:rsidRPr="00AD2E77">
              <w:rPr>
                <w:rFonts w:ascii="Arial" w:eastAsia="Times New Roman" w:hAnsi="Arial" w:cs="Arial"/>
                <w:sz w:val="20"/>
                <w:szCs w:val="20"/>
                <w:lang w:eastAsia="pl-PL"/>
              </w:rPr>
              <w:t>decyzje budowlane</w:t>
            </w:r>
            <w:r w:rsidRPr="00AD2E77">
              <w:rPr>
                <w:rFonts w:ascii="Arial" w:eastAsia="Times New Roman" w:hAnsi="Arial" w:cs="Arial"/>
                <w:sz w:val="20"/>
                <w:szCs w:val="20"/>
                <w:lang w:eastAsia="en-GB"/>
              </w:rPr>
              <w:t xml:space="preserve"> </w:t>
            </w:r>
            <w:r w:rsidRPr="00AD2E77">
              <w:rPr>
                <w:rFonts w:ascii="Arial" w:eastAsia="Times New Roman" w:hAnsi="Arial" w:cs="Arial"/>
                <w:sz w:val="20"/>
                <w:szCs w:val="20"/>
                <w:lang w:eastAsia="pl-PL"/>
              </w:rPr>
              <w:t>lub do którego dokonano zgłoszenia robót budowlanych oraz organ który wydał decyzję o środowiskowych uwarunkowaniach.</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lastRenderedPageBreak/>
        <w:t>4.</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 xml:space="preserve">Stosowanie </w:t>
      </w:r>
      <w:hyperlink r:id="rId9" w:history="1">
        <w:r w:rsidRPr="00AD2E77">
          <w:rPr>
            <w:rFonts w:ascii="Arial" w:eastAsia="Times New Roman" w:hAnsi="Arial" w:cs="Arial"/>
            <w:b/>
            <w:bCs/>
            <w:sz w:val="20"/>
            <w:szCs w:val="20"/>
            <w:lang w:eastAsia="en-GB"/>
          </w:rPr>
          <w:t>Dyrektywy Rady 92/43/EWG w sprawie ochrony siedlisk przyrodniczych oraz dzikiej fauny i flory</w:t>
        </w:r>
      </w:hyperlink>
      <w:r w:rsidRPr="00AD2E77">
        <w:rPr>
          <w:rFonts w:ascii="Arial" w:eastAsia="Times New Roman" w:hAnsi="Arial" w:cs="Arial"/>
          <w:b/>
          <w:bCs/>
          <w:sz w:val="20"/>
          <w:szCs w:val="20"/>
          <w:vertAlign w:val="superscript"/>
          <w:lang w:eastAsia="en-GB"/>
        </w:rPr>
        <w:footnoteReference w:id="11"/>
      </w:r>
      <w:r w:rsidRPr="00AD2E77">
        <w:rPr>
          <w:rFonts w:ascii="Arial" w:eastAsia="Times New Roman" w:hAnsi="Arial" w:cs="Arial"/>
          <w:b/>
          <w:bCs/>
          <w:sz w:val="20"/>
          <w:szCs w:val="20"/>
          <w:lang w:eastAsia="en-GB"/>
        </w:rPr>
        <w:t xml:space="preserve"> (dyrektywa siedliskowa); ocena oddziaływania na obszary Natura 2000</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4.1.</w:t>
      </w:r>
      <w:r w:rsidRPr="00AD2E77">
        <w:rPr>
          <w:rFonts w:ascii="Arial" w:eastAsia="Times New Roman" w:hAnsi="Arial"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4.2</w:t>
      </w:r>
      <w:r w:rsidRPr="00AD2E77">
        <w:rPr>
          <w:rFonts w:ascii="Arial" w:eastAsia="Times New Roman" w:hAnsi="Arial" w:cs="Arial"/>
          <w:sz w:val="20"/>
          <w:szCs w:val="20"/>
          <w:lang w:eastAsia="en-GB"/>
        </w:rPr>
        <w:tab/>
        <w:t>Jeżeli w odpowiedzi na pytanie 4.1 zaznaczono „Tak”, należy przedstawić:</w:t>
      </w:r>
    </w:p>
    <w:p w:rsidR="00AD2E77" w:rsidRPr="00AD2E77" w:rsidRDefault="00AD2E77" w:rsidP="00AD2E77">
      <w:pPr>
        <w:spacing w:before="120" w:after="120" w:line="240" w:lineRule="auto"/>
        <w:ind w:left="850" w:hanging="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1)</w:t>
      </w:r>
      <w:r w:rsidRPr="00AD2E77">
        <w:rPr>
          <w:rFonts w:ascii="Arial" w:eastAsia="Times New Roman" w:hAnsi="Arial" w:cs="Arial"/>
          <w:sz w:val="20"/>
          <w:szCs w:val="20"/>
          <w:lang w:eastAsia="en-GB"/>
        </w:rPr>
        <w:tab/>
        <w:t xml:space="preserve">decyzję właściwego organu </w:t>
      </w:r>
      <w:r w:rsidRPr="00AD2E77">
        <w:rPr>
          <w:rFonts w:ascii="Arial" w:eastAsia="Times New Roman" w:hAnsi="Arial" w:cs="Arial"/>
          <w:sz w:val="20"/>
          <w:szCs w:val="20"/>
          <w:u w:val="single"/>
          <w:lang w:eastAsia="en-GB"/>
        </w:rPr>
        <w:t>oraz</w:t>
      </w:r>
      <w:r w:rsidRPr="00AD2E77">
        <w:rPr>
          <w:rFonts w:ascii="Arial" w:eastAsia="Times New Roman" w:hAnsi="Arial" w:cs="Arial"/>
          <w:sz w:val="20"/>
          <w:szCs w:val="20"/>
          <w:lang w:eastAsia="en-GB"/>
        </w:rPr>
        <w:t xml:space="preserve"> odpowiednią ocenę przeprowadzoną zgodnie z art. 6 ust. 3 dyrektywy siedliskowej;</w:t>
      </w:r>
    </w:p>
    <w:p w:rsidR="00AD2E77" w:rsidRPr="00AD2E77" w:rsidRDefault="00AD2E77" w:rsidP="00AD2E77">
      <w:pPr>
        <w:spacing w:before="120" w:after="120" w:line="240" w:lineRule="auto"/>
        <w:ind w:left="850" w:hanging="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2)</w:t>
      </w:r>
      <w:r w:rsidRPr="00AD2E77">
        <w:rPr>
          <w:rFonts w:ascii="Arial" w:eastAsia="Times New Roman"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a)</w:t>
      </w:r>
      <w:r w:rsidRPr="00AD2E77">
        <w:rPr>
          <w:rFonts w:ascii="Arial" w:eastAsia="Times New Roman" w:hAnsi="Arial" w:cs="Arial"/>
          <w:sz w:val="20"/>
          <w:szCs w:val="20"/>
          <w:lang w:eastAsia="en-GB"/>
        </w:rPr>
        <w:tab/>
        <w:t>kopię standardowego formularza zgłoszeniowego „Informacje dla Komisji Europejskiej zgodnie z art. 6 ust. 4 dyrektywy siedliskowej</w:t>
      </w:r>
      <w:r w:rsidRPr="00AD2E77">
        <w:rPr>
          <w:rFonts w:ascii="Arial" w:eastAsia="Times New Roman" w:hAnsi="Arial" w:cs="Arial"/>
          <w:sz w:val="20"/>
          <w:szCs w:val="20"/>
          <w:vertAlign w:val="superscript"/>
          <w:lang w:eastAsia="en-GB"/>
        </w:rPr>
        <w:footnoteReference w:id="12"/>
      </w:r>
      <w:r w:rsidRPr="00AD2E77">
        <w:rPr>
          <w:rFonts w:ascii="Arial" w:eastAsia="Times New Roman" w:hAnsi="Arial" w:cs="Arial"/>
          <w:sz w:val="20"/>
          <w:szCs w:val="20"/>
          <w:lang w:eastAsia="en-GB"/>
        </w:rPr>
        <w:t>, zgłoszone Komisji (DG ds. Środowiska) lub;</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b)</w:t>
      </w:r>
      <w:r w:rsidRPr="00AD2E77">
        <w:rPr>
          <w:rFonts w:ascii="Arial" w:eastAsia="Times New Roman" w:hAnsi="Arial"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4.3</w:t>
      </w:r>
      <w:r w:rsidRPr="00AD2E77">
        <w:rPr>
          <w:rFonts w:ascii="Arial" w:eastAsia="Times New Roman" w:hAnsi="Arial" w:cs="Arial"/>
          <w:sz w:val="20"/>
          <w:szCs w:val="20"/>
          <w:lang w:eastAsia="en-GB"/>
        </w:rPr>
        <w:tab/>
        <w:t>Jeżeli w odpowiedzi na pytanie 4.1 zaznaczono „Nie”, należy dołączyć wypełnioną przez właściwy organ deklarację znajdującą się w dodatku 1 do niniejszego formularza oraz mapę, na której wskazano lokalizację projektu i obszarów Natura 2000. Jeżeli projekt ma charakter nieinfrastrukturalny (np. wiąże się z zakupem, sprzętu, urządzeń, taboru) lub charakter „miękki”</w:t>
      </w:r>
      <w:r w:rsidRPr="00AD2E77">
        <w:rPr>
          <w:rFonts w:ascii="Arial" w:eastAsia="Times New Roman" w:hAnsi="Arial" w:cs="Arial"/>
          <w:sz w:val="20"/>
          <w:szCs w:val="24"/>
          <w:lang w:eastAsia="pl-PL"/>
        </w:rPr>
        <w:t xml:space="preserve"> (np. szkolenia, kampania edukacyjna),</w:t>
      </w:r>
      <w:r w:rsidRPr="00AD2E77">
        <w:rPr>
          <w:rFonts w:ascii="Arial" w:eastAsia="Times New Roman" w:hAnsi="Arial" w:cs="Arial"/>
          <w:sz w:val="20"/>
          <w:szCs w:val="20"/>
          <w:lang w:eastAsia="en-GB"/>
        </w:rPr>
        <w:t xml:space="preserve"> należy to odpowiednio wyjaśnić i w takim przypadku nie ma obowiązku dołączania deklaracji.</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UWAGA!</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Szczegółowe zalecenia w tym zakresie zawarte są w </w:t>
            </w:r>
            <w:r w:rsidRPr="00AD2E77">
              <w:rPr>
                <w:rFonts w:ascii="Arial" w:eastAsia="Times New Roman" w:hAnsi="Arial" w:cs="Arial"/>
                <w:i/>
                <w:sz w:val="20"/>
                <w:szCs w:val="20"/>
                <w:lang w:eastAsia="pl-PL"/>
              </w:rPr>
              <w:t>„Wytycznych w zakresie dokumentowania postępowania w sprawie oceny oddziaływania na środowisko dla przedsięwzięć współfinansowanych z krajowych lub regionalnych programów operacyjnych”.</w:t>
            </w:r>
            <w:r w:rsidRPr="00AD2E77" w:rsidDel="0032196F">
              <w:rPr>
                <w:rFonts w:ascii="Arial" w:eastAsia="Times New Roman" w:hAnsi="Arial" w:cs="Arial"/>
                <w:sz w:val="20"/>
                <w:szCs w:val="20"/>
                <w:lang w:eastAsia="pl-PL"/>
              </w:rPr>
              <w:t xml:space="preserve"> </w:t>
            </w:r>
            <w:r w:rsidRPr="00AD2E77">
              <w:rPr>
                <w:rFonts w:ascii="Arial" w:eastAsia="Times New Roman" w:hAnsi="Arial" w:cs="Arial"/>
                <w:sz w:val="20"/>
                <w:szCs w:val="20"/>
                <w:lang w:eastAsia="pl-PL"/>
              </w:rPr>
              <w:t>Ponadto należy przestrzegać zaleceń zawartych w przygotowanych przez Komisję Europejską dokumentach:</w:t>
            </w:r>
          </w:p>
          <w:p w:rsidR="00AD2E77" w:rsidRPr="00AD2E77" w:rsidRDefault="00AD2E77" w:rsidP="00AD2E77">
            <w:pPr>
              <w:numPr>
                <w:ilvl w:val="0"/>
                <w:numId w:val="4"/>
              </w:numPr>
              <w:spacing w:after="120" w:line="240" w:lineRule="auto"/>
              <w:jc w:val="both"/>
              <w:rPr>
                <w:rFonts w:ascii="Arial" w:eastAsia="Times New Roman" w:hAnsi="Arial" w:cs="Arial"/>
                <w:i/>
                <w:sz w:val="20"/>
                <w:szCs w:val="20"/>
                <w:lang w:eastAsia="pl-PL"/>
              </w:rPr>
            </w:pPr>
            <w:r w:rsidRPr="00AD2E77">
              <w:rPr>
                <w:rFonts w:ascii="Arial" w:eastAsia="Times New Roman" w:hAnsi="Arial" w:cs="Arial"/>
                <w:i/>
                <w:sz w:val="20"/>
                <w:szCs w:val="20"/>
                <w:lang w:eastAsia="pl-PL"/>
              </w:rPr>
              <w:t>Zarządzanie obszarami Natura 2000. Postanowienia artykułu 6 dyrektywy „siedliskowej” 92/43/EWG;</w:t>
            </w:r>
          </w:p>
          <w:p w:rsidR="00AD2E77" w:rsidRPr="00AD2E77" w:rsidRDefault="00AD2E77" w:rsidP="00AD2E77">
            <w:pPr>
              <w:numPr>
                <w:ilvl w:val="0"/>
                <w:numId w:val="4"/>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i/>
                <w:sz w:val="20"/>
                <w:szCs w:val="20"/>
                <w:lang w:eastAsia="pl-PL"/>
              </w:rPr>
              <w:t>Ocena planów i przedsięwzięć znacząco oddziałujących na obszary Natura 2000. Wytyczne metodyczne dotyczące przepisów Artykułu 6(3) i (4) Dyrektywy Siedliskowej 92/43/EWG</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lastRenderedPageBreak/>
              <w:t xml:space="preserve">Dokumenty (w polskiej wersji językowej) można znaleźć na stronie internetowej pod adresem: </w:t>
            </w:r>
            <w:hyperlink r:id="rId10" w:history="1">
              <w:r w:rsidRPr="00AD2E77">
                <w:rPr>
                  <w:rFonts w:ascii="Arial" w:eastAsia="Times New Roman" w:hAnsi="Arial" w:cs="Arial"/>
                  <w:color w:val="0000FF"/>
                  <w:sz w:val="20"/>
                  <w:szCs w:val="20"/>
                  <w:u w:val="single"/>
                  <w:lang w:eastAsia="pl-PL"/>
                </w:rPr>
                <w:t>http://ec.europa.eu/environment/nature/natura2000/management/guidance_en.htm</w:t>
              </w:r>
            </w:hyperlink>
            <w:r w:rsidRPr="00AD2E77">
              <w:rPr>
                <w:rFonts w:ascii="Arial" w:eastAsia="Times New Roman" w:hAnsi="Arial" w:cs="Arial"/>
                <w:sz w:val="20"/>
                <w:szCs w:val="20"/>
                <w:lang w:eastAsia="pl-PL"/>
              </w:rPr>
              <w:t xml:space="preserve">.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Gdy przedmiotem projektu jest inwestycja o charakterze nieinfrastrukturalnym (np. zakup sprzętu, urządzeń, taboru) bądź o charakterze „miękkim” (np. szkolenia, kampania edukacyjna) – w punkcie 4.1 należy wpisać NIE i odpowiednio to wyjaśnić. W takim przypadku nie należy dołączać </w:t>
            </w:r>
            <w:r w:rsidRPr="00AD2E77">
              <w:rPr>
                <w:rFonts w:ascii="Arial" w:eastAsia="Times New Roman" w:hAnsi="Arial" w:cs="Arial"/>
                <w:i/>
                <w:sz w:val="20"/>
                <w:szCs w:val="20"/>
                <w:lang w:eastAsia="pl-PL"/>
              </w:rPr>
              <w:t>Deklaracji organu odpowiedzialnego za monitorowanie obszarów Natura 2000</w:t>
            </w:r>
            <w:r w:rsidRPr="00AD2E77">
              <w:rPr>
                <w:rFonts w:ascii="Arial" w:eastAsia="Times New Roman" w:hAnsi="Arial" w:cs="Arial"/>
                <w:sz w:val="20"/>
                <w:szCs w:val="20"/>
                <w:lang w:eastAsia="pl-PL"/>
              </w:rPr>
              <w:t xml:space="preserve"> (nie należy w ogóle występować o wydanie tego rodzaju zaświadczenia).</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przypadku, gdy w raporcie była przeprowadzona ocena zgodnie z art. 6.3 Dyrektywy Siedliskowej należy załączyć pełną wersję raportu, lub rozdziały raportu, w których zawarto ocenę wskazaną w art. 6.3 Dyrektywy Siedliskowej. Pozostała wymagana dokumentacja dla przedsięwzięć mogących znacząco oddziaływać na środowisko została wskazana w pkt. 3.3 i 3.4 formularza.</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przypadku procedury oceny dla przedsięwzięć innych niż mogące znacząco oddziaływać na środowisko opisanej w rozdziale 5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wymaga się załączenia Postanowienia o którym mowa w art. 98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oraz kopii decyzji, o której mowa w art. 96 ust. 1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wraz z informacją o jej podaniu do publicznej wiadomości </w:t>
            </w:r>
            <w:r w:rsidRPr="00AD2E77">
              <w:rPr>
                <w:rFonts w:ascii="Arial" w:eastAsia="Times New Roman" w:hAnsi="Arial" w:cs="Arial"/>
                <w:sz w:val="20"/>
                <w:szCs w:val="24"/>
                <w:lang w:eastAsia="pl-PL"/>
              </w:rPr>
              <w:t xml:space="preserve">w formie przewidzianej w art. 3 ust. 1 pkt 11 ustawy </w:t>
            </w:r>
            <w:proofErr w:type="spellStart"/>
            <w:r w:rsidRPr="00AD2E77">
              <w:rPr>
                <w:rFonts w:ascii="Arial" w:eastAsia="Times New Roman" w:hAnsi="Arial" w:cs="Arial"/>
                <w:sz w:val="20"/>
                <w:szCs w:val="24"/>
                <w:lang w:eastAsia="pl-PL"/>
              </w:rPr>
              <w:t>ooś</w:t>
            </w:r>
            <w:proofErr w:type="spellEnd"/>
            <w:r w:rsidRPr="00AD2E77">
              <w:rPr>
                <w:rFonts w:ascii="Arial" w:eastAsia="Times New Roman" w:hAnsi="Arial" w:cs="Arial"/>
                <w:sz w:val="20"/>
                <w:szCs w:val="24"/>
                <w:lang w:eastAsia="pl-PL"/>
              </w:rPr>
              <w:t>.</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rPr>
                <w:rFonts w:ascii="Arial" w:eastAsia="Times New Roman" w:hAnsi="Arial" w:cs="Arial"/>
                <w:sz w:val="20"/>
                <w:szCs w:val="24"/>
                <w:lang w:eastAsia="pl-PL"/>
              </w:rPr>
            </w:pPr>
            <w:r w:rsidRPr="00AD2E77">
              <w:rPr>
                <w:rFonts w:ascii="Arial" w:eastAsia="Times New Roman" w:hAnsi="Arial" w:cs="Arial"/>
                <w:sz w:val="20"/>
                <w:szCs w:val="20"/>
                <w:lang w:eastAsia="pl-PL"/>
              </w:rPr>
              <w:t xml:space="preserve">W przypadku określonym w punkcie 4.2 </w:t>
            </w:r>
            <w:proofErr w:type="spellStart"/>
            <w:r w:rsidRPr="00AD2E77">
              <w:rPr>
                <w:rFonts w:ascii="Arial" w:eastAsia="Times New Roman" w:hAnsi="Arial" w:cs="Arial"/>
                <w:sz w:val="20"/>
                <w:szCs w:val="20"/>
                <w:lang w:eastAsia="pl-PL"/>
              </w:rPr>
              <w:t>ppk</w:t>
            </w:r>
            <w:proofErr w:type="spellEnd"/>
            <w:r w:rsidRPr="00AD2E77">
              <w:rPr>
                <w:rFonts w:ascii="Arial" w:eastAsia="Times New Roman" w:hAnsi="Arial" w:cs="Arial"/>
                <w:sz w:val="20"/>
                <w:szCs w:val="20"/>
                <w:lang w:eastAsia="pl-PL"/>
              </w:rPr>
              <w:t xml:space="preserve">. 2 dodatkowo wymagana jest kopia dokumentacji, o której mowa w art. 35 ustawy o ochronie przyrody, </w:t>
            </w:r>
            <w:r w:rsidRPr="00AD2E77">
              <w:rPr>
                <w:rFonts w:ascii="Arial" w:eastAsia="Times New Roman" w:hAnsi="Arial" w:cs="Arial"/>
                <w:sz w:val="20"/>
                <w:szCs w:val="24"/>
                <w:lang w:eastAsia="pl-PL"/>
              </w:rPr>
              <w:t>czyli informacji dotyczącej ustalenia kompensacji przyrodniczej.</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Times New Roman"/>
                <w:sz w:val="20"/>
                <w:szCs w:val="24"/>
                <w:lang w:eastAsia="pl-PL"/>
              </w:rPr>
              <w:t>Wykonanie kompensacji przyrodniczej następuje nie później niż w terminie rozpoczęcia działań powodujących negatywne oddziaływanie co powinno zostać odnotowane/potwierdzone na potrzeby niniejszego formularza.</w:t>
            </w:r>
          </w:p>
        </w:tc>
      </w:tr>
    </w:tbl>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p>
    <w:p w:rsidR="00AD2E77" w:rsidRPr="00AD2E77" w:rsidRDefault="00AD2E77" w:rsidP="00AD2E77">
      <w:pPr>
        <w:keepNext/>
        <w:spacing w:before="120" w:after="120" w:line="240" w:lineRule="auto"/>
        <w:ind w:left="600" w:hanging="600"/>
        <w:jc w:val="both"/>
        <w:outlineLvl w:val="1"/>
        <w:rPr>
          <w:rFonts w:ascii="Arial" w:eastAsia="Times New Roman" w:hAnsi="Arial" w:cs="Arial"/>
          <w:b/>
          <w:bCs/>
          <w:sz w:val="20"/>
          <w:szCs w:val="20"/>
          <w:lang w:eastAsia="en-GB"/>
        </w:rPr>
      </w:pPr>
      <w:r w:rsidRPr="00AD2E77">
        <w:rPr>
          <w:rFonts w:ascii="Arial" w:eastAsia="Times New Roman" w:hAnsi="Arial" w:cs="Arial"/>
          <w:b/>
          <w:bCs/>
          <w:sz w:val="20"/>
          <w:szCs w:val="20"/>
          <w:lang w:eastAsia="en-GB"/>
        </w:rPr>
        <w:t>5.</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Stosowanie dyrektywy 2000/60/WE Parlamentu Europejskiego i Rady</w:t>
      </w:r>
      <w:r w:rsidRPr="00AD2E77">
        <w:rPr>
          <w:rFonts w:ascii="Arial" w:eastAsia="Times New Roman" w:hAnsi="Arial" w:cs="Arial"/>
          <w:b/>
          <w:bCs/>
          <w:sz w:val="20"/>
          <w:szCs w:val="20"/>
          <w:vertAlign w:val="superscript"/>
          <w:lang w:eastAsia="en-GB"/>
        </w:rPr>
        <w:footnoteReference w:id="13"/>
      </w:r>
      <w:r w:rsidRPr="00AD2E77">
        <w:rPr>
          <w:rFonts w:ascii="Arial" w:eastAsia="Times New Roman" w:hAnsi="Arial" w:cs="Arial"/>
          <w:b/>
          <w:bCs/>
          <w:sz w:val="20"/>
          <w:szCs w:val="20"/>
          <w:lang w:eastAsia="en-GB"/>
        </w:rPr>
        <w:t xml:space="preserve"> („ramowej dyrektywy wodnej”); ocena oddziaływania na jednolitą część wód</w:t>
      </w:r>
    </w:p>
    <w:p w:rsidR="00AD2E77" w:rsidRPr="00AD2E77" w:rsidRDefault="00AD2E77" w:rsidP="00AD2E77">
      <w:pPr>
        <w:keepNext/>
        <w:spacing w:before="120" w:after="120" w:line="240" w:lineRule="auto"/>
        <w:ind w:left="600" w:hanging="600"/>
        <w:jc w:val="both"/>
        <w:outlineLvl w:val="1"/>
        <w:rPr>
          <w:rFonts w:ascii="Arial" w:eastAsia="Times New Roman"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rsidR="00AD2E77" w:rsidRPr="00AD2E77" w:rsidRDefault="00AD2E77" w:rsidP="00AD2E77">
            <w:pPr>
              <w:spacing w:after="0" w:line="240" w:lineRule="auto"/>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rsidR="00AD2E77" w:rsidRPr="00AD2E77" w:rsidRDefault="00AD2E77" w:rsidP="00AD2E77">
      <w:pPr>
        <w:keepNext/>
        <w:spacing w:before="120" w:after="120" w:line="240" w:lineRule="auto"/>
        <w:ind w:left="600" w:hanging="600"/>
        <w:jc w:val="both"/>
        <w:outlineLvl w:val="1"/>
        <w:rPr>
          <w:rFonts w:ascii="Arial" w:eastAsia="Times New Roman" w:hAnsi="Arial" w:cs="Arial"/>
          <w:b/>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5.1 </w:t>
      </w:r>
      <w:r w:rsidRPr="00AD2E77">
        <w:rPr>
          <w:rFonts w:ascii="Arial" w:eastAsia="Times New Roman" w:hAnsi="Arial" w:cs="Arial"/>
          <w:sz w:val="20"/>
          <w:szCs w:val="20"/>
          <w:lang w:eastAsia="en-GB"/>
        </w:rPr>
        <w:tab/>
        <w:t>W przypadku niespełnienia odpowiedniego warunku wstępnego zgodnie z art. 19 rozporządzenia (UE) nr 1303/2013, należy przedstawić łącze do zatwierdzonego planu działań.</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b/>
                <w:sz w:val="20"/>
                <w:szCs w:val="24"/>
                <w:lang w:eastAsia="pl-PL"/>
              </w:rPr>
              <w:t>Instrukcja</w:t>
            </w:r>
            <w:r w:rsidRPr="00AD2E77">
              <w:rPr>
                <w:rFonts w:ascii="Arial" w:eastAsia="Times New Roman" w:hAnsi="Arial" w:cs="Arial"/>
                <w:sz w:val="20"/>
                <w:szCs w:val="24"/>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Informacje podstawowe: </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Stosownie do art. 19 ww. rozporządzenia ramowego, uruchomienie funduszy UE będzie uzależnione od spełnienia wymogów warunkowości </w:t>
            </w:r>
            <w:r w:rsidRPr="00AD2E77">
              <w:rPr>
                <w:rFonts w:ascii="Arial" w:eastAsia="Times New Roman" w:hAnsi="Arial" w:cs="Arial"/>
                <w:i/>
                <w:iCs/>
                <w:sz w:val="20"/>
                <w:szCs w:val="24"/>
                <w:lang w:eastAsia="pl-PL"/>
              </w:rPr>
              <w:t>ex-</w:t>
            </w:r>
            <w:proofErr w:type="spellStart"/>
            <w:r w:rsidRPr="00AD2E77">
              <w:rPr>
                <w:rFonts w:ascii="Arial" w:eastAsia="Times New Roman" w:hAnsi="Arial" w:cs="Arial"/>
                <w:i/>
                <w:iCs/>
                <w:sz w:val="20"/>
                <w:szCs w:val="24"/>
                <w:lang w:eastAsia="pl-PL"/>
              </w:rPr>
              <w:t>ante</w:t>
            </w:r>
            <w:proofErr w:type="spellEnd"/>
            <w:r w:rsidRPr="00AD2E77">
              <w:rPr>
                <w:rFonts w:ascii="Arial" w:eastAsia="Times New Roman" w:hAnsi="Arial" w:cs="Arial"/>
                <w:sz w:val="20"/>
                <w:szCs w:val="24"/>
                <w:lang w:eastAsia="pl-PL"/>
              </w:rPr>
              <w:t xml:space="preserve">, tj. zapewnienia określonych warunków wyjściowych, </w:t>
            </w:r>
            <w:r w:rsidRPr="00AD2E77">
              <w:rPr>
                <w:rFonts w:ascii="Arial" w:eastAsia="Times New Roman" w:hAnsi="Arial" w:cs="Arial"/>
                <w:sz w:val="20"/>
                <w:szCs w:val="24"/>
                <w:lang w:eastAsia="pl-PL"/>
              </w:rPr>
              <w:lastRenderedPageBreak/>
              <w:t>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rsidR="00AD2E77" w:rsidRPr="00AD2E77" w:rsidRDefault="00AD2E77" w:rsidP="00AD2E77">
            <w:pPr>
              <w:autoSpaceDE w:val="0"/>
              <w:autoSpaceDN w:val="0"/>
              <w:adjustRightInd w:val="0"/>
              <w:spacing w:after="100" w:afterAutospacing="1"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Szczegółowe informacje nt. stanu spełnienia warunków wstępnych wskazanych w art. 19 zostały opisane w sekcji 9 </w:t>
            </w:r>
            <w:r w:rsidRPr="00AD2E77">
              <w:rPr>
                <w:rFonts w:ascii="Arial" w:eastAsia="Times New Roman" w:hAnsi="Arial" w:cs="Arial"/>
                <w:i/>
                <w:sz w:val="20"/>
                <w:szCs w:val="24"/>
                <w:lang w:eastAsia="pl-PL"/>
              </w:rPr>
              <w:t>Warunki wstępne</w:t>
            </w:r>
            <w:r w:rsidRPr="00AD2E77">
              <w:rPr>
                <w:rFonts w:ascii="Arial" w:eastAsia="Times New Roman" w:hAnsi="Arial" w:cs="Arial"/>
                <w:sz w:val="20"/>
                <w:szCs w:val="24"/>
                <w:lang w:eastAsia="pl-PL"/>
              </w:rPr>
              <w:t xml:space="preserve"> oraz w załączniku nr 2 </w:t>
            </w:r>
            <w:r w:rsidRPr="00AD2E77">
              <w:rPr>
                <w:rFonts w:ascii="Arial" w:eastAsia="Times New Roman" w:hAnsi="Arial" w:cs="Arial"/>
                <w:i/>
                <w:sz w:val="20"/>
                <w:szCs w:val="24"/>
                <w:lang w:eastAsia="pl-PL"/>
              </w:rPr>
              <w:t>Stan spełnienia przez Województwo Świętokrzyskie warunkowości ex-</w:t>
            </w:r>
            <w:proofErr w:type="spellStart"/>
            <w:r w:rsidRPr="00AD2E77">
              <w:rPr>
                <w:rFonts w:ascii="Arial" w:eastAsia="Times New Roman" w:hAnsi="Arial" w:cs="Arial"/>
                <w:i/>
                <w:sz w:val="20"/>
                <w:szCs w:val="24"/>
                <w:lang w:eastAsia="pl-PL"/>
              </w:rPr>
              <w:t>ante</w:t>
            </w:r>
            <w:proofErr w:type="spellEnd"/>
            <w:r w:rsidRPr="00AD2E77">
              <w:rPr>
                <w:rFonts w:ascii="Arial" w:eastAsia="Times New Roman" w:hAnsi="Arial" w:cs="Arial"/>
                <w:i/>
                <w:sz w:val="20"/>
                <w:szCs w:val="24"/>
                <w:lang w:eastAsia="pl-PL"/>
              </w:rPr>
              <w:t xml:space="preserve"> dla funduszy europejskich 2014-2020 </w:t>
            </w:r>
            <w:r w:rsidRPr="00AD2E77">
              <w:rPr>
                <w:rFonts w:ascii="Arial" w:eastAsia="Times New Roman" w:hAnsi="Arial" w:cs="Arial"/>
                <w:sz w:val="20"/>
                <w:szCs w:val="24"/>
                <w:lang w:eastAsia="pl-PL"/>
              </w:rPr>
              <w:t xml:space="preserve">Regionalnego Programu Operacyjnego Województwa Świętokrzyskiego na lata 2014-2020. Aktualna wersja Programu dostępna jest na stronie: </w:t>
            </w:r>
            <w:hyperlink r:id="rId11" w:history="1">
              <w:r w:rsidRPr="00AD2E77">
                <w:rPr>
                  <w:rFonts w:ascii="Arial" w:eastAsia="Times New Roman" w:hAnsi="Arial" w:cs="Arial"/>
                  <w:sz w:val="20"/>
                  <w:szCs w:val="24"/>
                  <w:u w:val="single"/>
                  <w:lang w:eastAsia="pl-PL"/>
                </w:rPr>
                <w:t>http://www.2014-2020.rpo-swietokrzyskie.pl/</w:t>
              </w:r>
            </w:hyperlink>
            <w:r w:rsidRPr="00AD2E77">
              <w:rPr>
                <w:rFonts w:ascii="Arial" w:eastAsia="Times New Roman" w:hAnsi="Arial" w:cs="Arial"/>
                <w:sz w:val="20"/>
                <w:szCs w:val="24"/>
                <w:lang w:eastAsia="pl-PL"/>
              </w:rPr>
              <w:t>.</w:t>
            </w:r>
          </w:p>
          <w:p w:rsidR="00AD2E77" w:rsidRPr="00AD2E77" w:rsidRDefault="00AD2E77" w:rsidP="00AD2E77">
            <w:pPr>
              <w:autoSpaceDE w:val="0"/>
              <w:autoSpaceDN w:val="0"/>
              <w:adjustRightInd w:val="0"/>
              <w:spacing w:after="100" w:afterAutospacing="1"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polu należy wpisać „nie dotyczy”, jeżeli warunek wstępny dla danego priorytetu inwestycyjnego RPOWŚ 2014-2020 jest spełniony lub żaden z warunków wstępnych nie dotyczy priorytetu inwestycyjnego w ramach którego projekt jest realizowany.</w:t>
            </w:r>
          </w:p>
          <w:p w:rsidR="00AD2E77" w:rsidRPr="00AD2E77" w:rsidRDefault="00AD2E77" w:rsidP="00AD2E77">
            <w:pPr>
              <w:autoSpaceDE w:val="0"/>
              <w:autoSpaceDN w:val="0"/>
              <w:adjustRightInd w:val="0"/>
              <w:spacing w:after="100" w:afterAutospacing="1"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Informacje szczegółowe:</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4"/>
                <w:lang w:eastAsia="pl-PL"/>
              </w:rPr>
              <w:t xml:space="preserve">W obszarze </w:t>
            </w:r>
            <w:r w:rsidRPr="00AD2E77">
              <w:rPr>
                <w:rFonts w:ascii="Arial" w:eastAsia="Times New Roman" w:hAnsi="Arial" w:cs="Arial"/>
                <w:b/>
                <w:bCs/>
                <w:sz w:val="20"/>
                <w:szCs w:val="24"/>
                <w:lang w:eastAsia="pl-PL"/>
              </w:rPr>
              <w:t xml:space="preserve">gospodarki wodnej </w:t>
            </w:r>
            <w:r w:rsidRPr="00AD2E77">
              <w:rPr>
                <w:rFonts w:ascii="Arial" w:eastAsia="Times New Roman" w:hAnsi="Arial" w:cs="Arial"/>
                <w:sz w:val="20"/>
                <w:szCs w:val="24"/>
                <w:lang w:eastAsia="pl-PL"/>
              </w:rPr>
              <w:t xml:space="preserve">kluczowym elementem wiążącym się ze spełnieniem warunków wstępnych jest przyjęcie aktualizacji </w:t>
            </w:r>
            <w:r w:rsidRPr="00AD2E77">
              <w:rPr>
                <w:rFonts w:ascii="Arial" w:eastAsia="Times New Roman" w:hAnsi="Arial" w:cs="Arial"/>
                <w:i/>
                <w:iCs/>
                <w:sz w:val="20"/>
                <w:szCs w:val="24"/>
                <w:lang w:eastAsia="pl-PL"/>
              </w:rPr>
              <w:t xml:space="preserve">Planów gospodarowania wodami na obszarach dorzeczy </w:t>
            </w:r>
            <w:r w:rsidRPr="00AD2E77">
              <w:rPr>
                <w:rFonts w:ascii="Arial" w:eastAsia="Times New Roman" w:hAnsi="Arial" w:cs="Arial"/>
                <w:sz w:val="20"/>
                <w:szCs w:val="24"/>
                <w:lang w:eastAsia="pl-PL"/>
              </w:rPr>
              <w:t>(</w:t>
            </w:r>
            <w:proofErr w:type="spellStart"/>
            <w:r w:rsidRPr="00AD2E77">
              <w:rPr>
                <w:rFonts w:ascii="Arial" w:eastAsia="Times New Roman" w:hAnsi="Arial" w:cs="Arial"/>
                <w:sz w:val="20"/>
                <w:szCs w:val="24"/>
                <w:lang w:eastAsia="pl-PL"/>
              </w:rPr>
              <w:t>aPGW</w:t>
            </w:r>
            <w:proofErr w:type="spellEnd"/>
            <w:r w:rsidRPr="00AD2E77">
              <w:rPr>
                <w:rFonts w:ascii="Arial" w:eastAsia="Times New Roman" w:hAnsi="Arial" w:cs="Arial"/>
                <w:sz w:val="20"/>
                <w:szCs w:val="24"/>
                <w:lang w:eastAsia="pl-PL"/>
              </w:rPr>
              <w:t>), zgodnych z wymogami Ramowej Dyrektywy Wodnej. Ponadto w związku z oczekiwaniami KE, opracowano (zatwierdzone przez Radę Ministrów w dniu 26.08.2014r.) przejściowe dokumenty w gosp. wodnej, tzw. Master Plany dla dorzeczy Wisły i Odry, stanowiące uzupełnienie obowiązujących Planów Gospodarowania Wodami (PGW)</w:t>
            </w:r>
            <w:r w:rsidRPr="00AD2E77">
              <w:rPr>
                <w:rFonts w:ascii="Arial" w:eastAsia="Times New Roman" w:hAnsi="Arial" w:cs="Arial"/>
                <w:sz w:val="24"/>
                <w:szCs w:val="24"/>
                <w:lang w:eastAsia="pl-PL"/>
              </w:rPr>
              <w:t xml:space="preserve"> </w:t>
            </w:r>
            <w:r w:rsidRPr="00AD2E77">
              <w:rPr>
                <w:rFonts w:ascii="Arial" w:eastAsia="Times New Roman" w:hAnsi="Arial" w:cs="Arial"/>
                <w:sz w:val="20"/>
                <w:szCs w:val="24"/>
                <w:lang w:eastAsia="pl-PL"/>
              </w:rPr>
              <w:t xml:space="preserve">w zakresie inwestycji mogących spowodować nieosiągnięcie celów środowiskowych, dla których zastosowano odstępstwo zgodnie z art. 4 ust. 7 Ramowej Dyrektywy Wodnej. W Ministerstwie Środowiska trwają także prace nad przygotowaniem nowej ustawy </w:t>
            </w:r>
            <w:r w:rsidRPr="00AD2E77">
              <w:rPr>
                <w:rFonts w:ascii="Arial" w:eastAsia="Times New Roman" w:hAnsi="Arial" w:cs="Arial"/>
                <w:i/>
                <w:iCs/>
                <w:sz w:val="20"/>
                <w:szCs w:val="24"/>
                <w:lang w:eastAsia="pl-PL"/>
              </w:rPr>
              <w:t xml:space="preserve">– Prawo wodne </w:t>
            </w:r>
            <w:r w:rsidRPr="00AD2E77">
              <w:rPr>
                <w:rFonts w:ascii="Arial" w:eastAsia="Times New Roman" w:hAnsi="Arial" w:cs="Arial"/>
                <w:sz w:val="20"/>
                <w:szCs w:val="24"/>
                <w:lang w:eastAsia="pl-PL"/>
              </w:rPr>
              <w:t>(w dn. 21.10.2014 r. RM przyjęła projekt założeń do ustawy)</w:t>
            </w:r>
            <w:r w:rsidRPr="00AD2E77">
              <w:rPr>
                <w:rFonts w:ascii="Arial" w:eastAsia="Times New Roman" w:hAnsi="Arial" w:cs="Arial"/>
                <w:i/>
                <w:iCs/>
                <w:sz w:val="20"/>
                <w:szCs w:val="24"/>
                <w:lang w:eastAsia="pl-PL"/>
              </w:rPr>
              <w:t xml:space="preserve">, </w:t>
            </w:r>
            <w:r w:rsidRPr="00AD2E77">
              <w:rPr>
                <w:rFonts w:ascii="Arial" w:eastAsia="Times New Roman" w:hAnsi="Arial" w:cs="Arial"/>
                <w:sz w:val="20"/>
                <w:szCs w:val="24"/>
                <w:lang w:eastAsia="pl-PL"/>
              </w:rPr>
              <w:t xml:space="preserve">obejmujące zakresem m.in. zapewnienie komplementarności polityce opłat za wodę z uwzględnieniem zasady „zwrotu kosztów za usługi wodne (wynikające z uzup. </w:t>
            </w:r>
            <w:proofErr w:type="spellStart"/>
            <w:r w:rsidRPr="00AD2E77">
              <w:rPr>
                <w:rFonts w:ascii="Arial" w:eastAsia="Times New Roman" w:hAnsi="Arial" w:cs="Arial"/>
                <w:sz w:val="20"/>
                <w:szCs w:val="24"/>
                <w:lang w:eastAsia="pl-PL"/>
              </w:rPr>
              <w:t>transp</w:t>
            </w:r>
            <w:proofErr w:type="spellEnd"/>
            <w:r w:rsidRPr="00AD2E77">
              <w:rPr>
                <w:rFonts w:ascii="Arial" w:eastAsia="Times New Roman" w:hAnsi="Arial" w:cs="Arial"/>
                <w:sz w:val="20"/>
                <w:szCs w:val="24"/>
                <w:lang w:eastAsia="pl-PL"/>
              </w:rPr>
              <w:t>. art. 9 Ramowej Dyrektywy Wodnej.</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5.2</w:t>
      </w:r>
      <w:r w:rsidRPr="00AD2E77">
        <w:rPr>
          <w:rFonts w:ascii="Arial" w:eastAsia="Times New Roman"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9889" w:type="dxa"/>
        <w:tblLayout w:type="fixed"/>
        <w:tblLook w:val="0000" w:firstRow="0" w:lastRow="0" w:firstColumn="0" w:lastColumn="0" w:noHBand="0" w:noVBand="0"/>
      </w:tblPr>
      <w:tblGrid>
        <w:gridCol w:w="2805"/>
        <w:gridCol w:w="851"/>
        <w:gridCol w:w="397"/>
        <w:gridCol w:w="851"/>
        <w:gridCol w:w="851"/>
        <w:gridCol w:w="397"/>
        <w:gridCol w:w="3737"/>
      </w:tblGrid>
      <w:tr w:rsidR="00AD2E77" w:rsidRPr="00AD2E77" w:rsidTr="00DE1BA2">
        <w:trPr>
          <w:gridBefore w:val="1"/>
          <w:gridAfter w:val="1"/>
          <w:wBefore w:w="2805" w:type="dxa"/>
          <w:wAfter w:w="3737" w:type="dxa"/>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r w:rsidR="00AD2E77" w:rsidRPr="00AD2E77" w:rsidTr="00DE1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9889" w:type="dxa"/>
            <w:gridSpan w:val="7"/>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Uwaga!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Wskazane zapisy w pytaniu 5.2 oraz w dalszej części formularza w odniesieniu do prawa krajowego należy rozumieć następująco:</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części wód powierzchniowych – jednolita części wód powierzchniowych (JCWP),</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części wód podziemnych – jednolite części wód podziemnych (</w:t>
            </w:r>
            <w:proofErr w:type="spellStart"/>
            <w:r w:rsidRPr="00AD2E77">
              <w:rPr>
                <w:rFonts w:ascii="Arial" w:eastAsia="Times New Roman" w:hAnsi="Arial" w:cs="Arial"/>
                <w:sz w:val="20"/>
                <w:szCs w:val="20"/>
                <w:lang w:eastAsia="pl-PL"/>
              </w:rPr>
              <w:t>JCWPd</w:t>
            </w:r>
            <w:proofErr w:type="spellEnd"/>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Informacja ma odpowiadać na pytanie czy wystąpią okoliczności, w których dobry stan ekologiczny lub potencjał ekologiczny nie zostanie osiągnięty lub nie uda się zapobiec pogorszeniu stanu JCWP lub </w:t>
            </w:r>
            <w:proofErr w:type="spellStart"/>
            <w:r w:rsidRPr="00AD2E77">
              <w:rPr>
                <w:rFonts w:ascii="Arial" w:eastAsia="Times New Roman" w:hAnsi="Arial" w:cs="Arial"/>
                <w:sz w:val="20"/>
                <w:szCs w:val="20"/>
                <w:lang w:eastAsia="pl-PL"/>
              </w:rPr>
              <w:t>JCWPd</w:t>
            </w:r>
            <w:proofErr w:type="spellEnd"/>
            <w:r w:rsidRPr="00AD2E77">
              <w:rPr>
                <w:rFonts w:ascii="Arial" w:eastAsia="Times New Roman" w:hAnsi="Arial" w:cs="Arial"/>
                <w:sz w:val="20"/>
                <w:szCs w:val="20"/>
                <w:lang w:eastAsia="pl-PL"/>
              </w:rPr>
              <w:t xml:space="preserve"> w wyniku nowych zmian w charakterystyce fizycznej JCWP lub zmianie poziomu </w:t>
            </w:r>
            <w:proofErr w:type="spellStart"/>
            <w:r w:rsidRPr="00AD2E77">
              <w:rPr>
                <w:rFonts w:ascii="Arial" w:eastAsia="Times New Roman" w:hAnsi="Arial" w:cs="Arial"/>
                <w:sz w:val="20"/>
                <w:szCs w:val="20"/>
                <w:lang w:eastAsia="pl-PL"/>
              </w:rPr>
              <w:t>JCWPd</w:t>
            </w:r>
            <w:proofErr w:type="spellEnd"/>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wyniku selekcji dokonanej na podstawie tego punktu otrzymujemy zasadniczo 3 umowne kategorie projektów:</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Odpowiedź TAK - w przypadku odpowiedzi pozytywnej planowane działanie/działania podlegają ocenie pod kątem spełnienia przesłanek dla zastosowania odstępstw, o których mowa w artykule 4 ust. 7 Ramowej Dyrektywy Wodnej.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takich przypadkach klasyfikujemy projekt do Kategorii A - należy przejść do punktu 5.2.1.</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Odpowiedź NIE – w przypadku odpowiedzi negatywnej mogą wystąpić dwie sytuacje:</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lastRenderedPageBreak/>
              <w:t>W takich przypadkach klasyfikujemy projekt do Kategorii B - należy przejść do punktu 5.2.2.</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2. Nie przeprowadzono analizy w celu odpowiedzi na pytanie 5.2 – projekt, z uwagi na swój charakter nie wymaga rozpatrzenia w kontekście spełnienia wymogów Ramowej Dyrektywy Wodnej.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Będą to m.in. projekty:</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studialne, czyli dotyczące opracowania dokumentacji, jeśli w ramach tych projektów nie zachodzi potrzeba działań fizycznych,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nieinfrastrukturalne (jak na przykład wskazane w zapytaniu działania zakupowe, nie związane </w:t>
            </w:r>
            <w:r w:rsidRPr="00AD2E77">
              <w:rPr>
                <w:rFonts w:ascii="Arial" w:eastAsia="Times New Roman" w:hAnsi="Arial" w:cs="Arial"/>
                <w:sz w:val="20"/>
                <w:szCs w:val="20"/>
                <w:lang w:eastAsia="pl-PL"/>
              </w:rPr>
              <w:br/>
              <w:t>z ingerencją w środowisko).</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takich przypadkach klasyfikujemy projekt do Kategorii C - należy przejść do punktu 5.2.2.</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przedmiotowym punkcie uwzględnia się projekty sklasyfikowane wg pkt 5.2 do Kategorii A.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przedmiotowym przypadku mówimy o odstępstwie dopuszczonym ze względu na planowany projekt, które wskazano w art. 4 ust. 7 RDW tj. nowe zmiany charakterystyki fizycznej JCWP lub zmiany poziomu </w:t>
            </w:r>
            <w:proofErr w:type="spellStart"/>
            <w:r w:rsidRPr="00AD2E77">
              <w:rPr>
                <w:rFonts w:ascii="Arial" w:eastAsia="Times New Roman" w:hAnsi="Arial" w:cs="Arial"/>
                <w:sz w:val="20"/>
                <w:szCs w:val="20"/>
                <w:lang w:eastAsia="pl-PL"/>
              </w:rPr>
              <w:t>JCWPd</w:t>
            </w:r>
            <w:proofErr w:type="spellEnd"/>
            <w:r w:rsidRPr="00AD2E77">
              <w:rPr>
                <w:rFonts w:ascii="Arial" w:eastAsia="Times New Roman" w:hAnsi="Arial" w:cs="Arial"/>
                <w:sz w:val="20"/>
                <w:szCs w:val="20"/>
                <w:lang w:eastAsia="pl-PL"/>
              </w:rPr>
              <w:t xml:space="preserve"> lub nowe formy zrównoważonej działalności człowieka.</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(zmiana wprowadzona zmianą ustawy z dnia 5 stycznia 2011 roku </w:t>
            </w:r>
            <w:r w:rsidRPr="00AD2E77">
              <w:rPr>
                <w:rFonts w:ascii="Arial" w:eastAsia="Times New Roman" w:hAnsi="Arial" w:cs="Arial"/>
                <w:i/>
                <w:sz w:val="20"/>
                <w:szCs w:val="20"/>
                <w:lang w:eastAsia="pl-PL"/>
              </w:rPr>
              <w:t>o zmianie ustawy Prawo wodne oraz niektórych innych ustaw</w:t>
            </w:r>
            <w:r w:rsidRPr="00AD2E77">
              <w:rPr>
                <w:rFonts w:ascii="Arial" w:eastAsia="Times New Roman" w:hAnsi="Arial" w:cs="Arial"/>
                <w:sz w:val="20"/>
                <w:szCs w:val="20"/>
                <w:lang w:eastAsia="pl-PL"/>
              </w:rPr>
              <w:t xml:space="preserve"> (Dz. U. nr 32 poz. 159) – dalej </w:t>
            </w:r>
            <w:r w:rsidRPr="00AD2E77">
              <w:rPr>
                <w:rFonts w:ascii="Arial" w:eastAsia="Times New Roman" w:hAnsi="Arial" w:cs="Arial"/>
                <w:i/>
                <w:sz w:val="20"/>
                <w:szCs w:val="20"/>
                <w:lang w:eastAsia="pl-PL"/>
              </w:rPr>
              <w:t>ustawa z dnia 5 stycznia 2011 r</w:t>
            </w:r>
            <w:r w:rsidRPr="00AD2E77">
              <w:rPr>
                <w:rFonts w:ascii="Arial" w:eastAsia="Times New Roman" w:hAnsi="Arial" w:cs="Arial"/>
                <w:sz w:val="20"/>
                <w:szCs w:val="20"/>
                <w:lang w:eastAsia="pl-PL"/>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Artykuł 38j ust. 2 ustawy prawo wodne stanowi, iż aby móc skorzystać z odstępstwa określonego w ust. 1 konieczne jest łączne spełnienie wymienionych warunków: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zaplanowano łagodzenie skutków negatywnych oddziaływań na stan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przyczyny nowych zmian przedstawione w aktualizacji PGW;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przyczyną realizacji przedsięwzięcia jest nadrzędny cel publiczny lub utracone korzyści przeważane są przez pozytywne efekty dla środowiska i społeczeństwa (uwzględniając zasadę zrównoważonego rozwoju);</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rozpatrzono alternatywy i wybrano wariant najlepszy, tzn. zakładanych korzyści nie można osiągnąć w inny sposób, lepszy dla środowiska ze względu na wykonalność techniczną lub nieproporcjonalnie wysokie koszty w stosunku do zakładanych korzyści.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lastRenderedPageBreak/>
              <w:t>Tym samym w procedurze oceny oddziaływania na środowisko badane jest spełnienie przesłanek o których mowa w artykule 38j ust. 2 ustawy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kontekście oceny i spełnienia odstępstwa o którym mowa w artykule 4 ust. 7 Ramowej Dyrektywy Wodnej należy wskazać na </w:t>
            </w:r>
            <w:proofErr w:type="spellStart"/>
            <w:r w:rsidRPr="00AD2E77">
              <w:rPr>
                <w:rFonts w:ascii="Arial" w:eastAsia="Times New Roman" w:hAnsi="Arial" w:cs="Arial"/>
                <w:sz w:val="20"/>
                <w:szCs w:val="20"/>
                <w:lang w:eastAsia="pl-PL"/>
              </w:rPr>
              <w:t>Masterplany</w:t>
            </w:r>
            <w:proofErr w:type="spellEnd"/>
            <w:r w:rsidRPr="00AD2E77">
              <w:rPr>
                <w:rFonts w:ascii="Arial" w:eastAsia="Times New Roman" w:hAnsi="Arial" w:cs="Arial"/>
                <w:sz w:val="20"/>
                <w:szCs w:val="20"/>
                <w:lang w:eastAsia="pl-PL"/>
              </w:rPr>
              <w:t xml:space="preserve"> dla dorzecza Odry i Wisły, a po przyjęciu i opublikowaniu na aktualizację PGW. (</w:t>
            </w:r>
            <w:hyperlink r:id="rId12" w:history="1">
              <w:r w:rsidRPr="00AD2E77">
                <w:rPr>
                  <w:rFonts w:ascii="Arial" w:eastAsia="Times New Roman" w:hAnsi="Arial" w:cs="Arial"/>
                  <w:color w:val="0000FF"/>
                  <w:sz w:val="20"/>
                  <w:szCs w:val="20"/>
                  <w:u w:val="single"/>
                  <w:lang w:eastAsia="pl-PL"/>
                </w:rPr>
                <w:t>https://www.mos.gov.pl/artykul/7_archiwum/23261_rzad_przyjal_masterplany_dla_dorzeczy_wisly_i_odry.html</w:t>
              </w:r>
            </w:hyperlink>
            <w:r w:rsidRPr="00AD2E77">
              <w:rPr>
                <w:rFonts w:ascii="Arial" w:eastAsia="Times New Roman" w:hAnsi="Arial" w:cs="Arial"/>
                <w:sz w:val="20"/>
                <w:szCs w:val="20"/>
                <w:lang w:eastAsia="pl-PL"/>
              </w:rPr>
              <w:t xml:space="preserve">). W zatwierdzonych w dniu 23 sierpnia 2014 roku </w:t>
            </w:r>
            <w:proofErr w:type="spellStart"/>
            <w:r w:rsidRPr="00AD2E77">
              <w:rPr>
                <w:rFonts w:ascii="Arial" w:eastAsia="Times New Roman" w:hAnsi="Arial" w:cs="Arial"/>
                <w:sz w:val="20"/>
                <w:szCs w:val="20"/>
                <w:lang w:eastAsia="pl-PL"/>
              </w:rPr>
              <w:t>Masterplanach</w:t>
            </w:r>
            <w:proofErr w:type="spellEnd"/>
            <w:r w:rsidRPr="00AD2E77">
              <w:rPr>
                <w:rFonts w:ascii="Arial" w:eastAsia="Times New Roman" w:hAnsi="Arial" w:cs="Arial"/>
                <w:sz w:val="20"/>
                <w:szCs w:val="20"/>
                <w:lang w:eastAsia="pl-PL"/>
              </w:rPr>
              <w:t xml:space="preserve"> dla dorzecza Odry i Wisły wykonana została ww. ocena w stosunku do projektów realizowanych i planowanych w sektorach ochrony przeciwpowodziowej, gospodarki wodnej, żeglugi śródlądowej i morskiej oraz hydroenergetyki</w:t>
            </w:r>
            <w:r w:rsidRPr="00AD2E77">
              <w:rPr>
                <w:rFonts w:ascii="Arial" w:eastAsia="Times New Roman" w:hAnsi="Arial" w:cs="Arial"/>
                <w:sz w:val="20"/>
                <w:szCs w:val="20"/>
                <w:vertAlign w:val="superscript"/>
                <w:lang w:eastAsia="pl-PL"/>
              </w:rPr>
              <w:footnoteReference w:id="14"/>
            </w:r>
            <w:r w:rsidRPr="00AD2E77">
              <w:rPr>
                <w:rFonts w:ascii="Arial" w:eastAsia="Times New Roman" w:hAnsi="Arial" w:cs="Arial"/>
                <w:sz w:val="20"/>
                <w:szCs w:val="20"/>
                <w:lang w:eastAsia="pl-PL"/>
              </w:rPr>
              <w:t>. Ocenione zadania zostały zagregowane w oddzielne listy w zależności od wyników oceny. W przypadku projektów ujętych na Liście nr 2, których dotyczy wspomniane wyżej odstępstwo wymagana jest ich analiza w aktualizacji PGW.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Tym samym w przypadku inwestycji sklasyfikowanych wg pkt 5.2 do kategorii A niezbędne jest ich ujęcie w </w:t>
            </w:r>
            <w:proofErr w:type="spellStart"/>
            <w:r w:rsidRPr="00AD2E77">
              <w:rPr>
                <w:rFonts w:ascii="Arial" w:eastAsia="Times New Roman" w:hAnsi="Arial" w:cs="Arial"/>
                <w:sz w:val="20"/>
                <w:szCs w:val="20"/>
                <w:lang w:eastAsia="pl-PL"/>
              </w:rPr>
              <w:t>aPGW</w:t>
            </w:r>
            <w:proofErr w:type="spellEnd"/>
            <w:r w:rsidRPr="00AD2E77">
              <w:rPr>
                <w:rFonts w:ascii="Arial" w:eastAsia="Times New Roman" w:hAnsi="Arial" w:cs="Arial"/>
                <w:sz w:val="20"/>
                <w:szCs w:val="20"/>
                <w:lang w:eastAsia="pl-PL"/>
              </w:rPr>
              <w:t xml:space="preserve"> wraz z informacją o ocenie spełnienia warunków art. 4(7) Ramowej Dyrektywy Wodnej.</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RPOWŚ 2014-2020 </w:t>
            </w:r>
            <w:r w:rsidRPr="00AD2E77">
              <w:rPr>
                <w:rFonts w:ascii="Arial" w:eastAsia="Times New Roman" w:hAnsi="Arial" w:cs="Arial"/>
                <w:b/>
                <w:sz w:val="20"/>
                <w:szCs w:val="20"/>
                <w:lang w:eastAsia="pl-PL"/>
              </w:rPr>
              <w:t>w priorytecie inwestycyjnym 5b (działanie 4.1 SZOOP RPOWŚ 2014-2020)</w:t>
            </w:r>
            <w:r w:rsidRPr="00AD2E77">
              <w:rPr>
                <w:rFonts w:ascii="Arial" w:eastAsia="Times New Roman" w:hAnsi="Arial" w:cs="Arial"/>
                <w:sz w:val="20"/>
                <w:szCs w:val="20"/>
                <w:lang w:eastAsia="pl-PL"/>
              </w:rPr>
              <w:t xml:space="preserve"> </w:t>
            </w:r>
            <w:r w:rsidRPr="00AD2E77">
              <w:rPr>
                <w:rFonts w:ascii="Arial" w:eastAsia="Times New Roman" w:hAnsi="Arial" w:cs="Arial"/>
                <w:b/>
                <w:sz w:val="20"/>
                <w:szCs w:val="20"/>
                <w:lang w:eastAsia="pl-PL"/>
              </w:rPr>
              <w:t>zapisano, że</w:t>
            </w:r>
            <w:r w:rsidRPr="00AD2E77">
              <w:rPr>
                <w:rFonts w:ascii="Arial" w:eastAsia="Times New Roman" w:hAnsi="Arial" w:cs="Arial"/>
                <w:sz w:val="20"/>
                <w:szCs w:val="20"/>
                <w:lang w:eastAsia="pl-PL"/>
              </w:rPr>
              <w:t xml:space="preserve"> współfinansowane będą tylko projekty niemające negatywnego wpływu na stan lub potencjał jednolitych części wód, które znajdują się na listach nr 1, będących załącznikami do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 xml:space="preserve">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 xml:space="preserve"> dla dorzeczy Odry i Wisły, nie będzie dozwolone do czasu przedstawienia 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5.2.2. Jeżeli zaznaczono odpowiedź „Nie”, należy dołączyć wypełnioną przez właściwy organ deklarację znajdującą się w dodatku 2 do niniejszego formularza. Jeżeli projekt ma charakter nieinfrastrukturalny (np. wiąże się z zakupem taboru), należy to odpowiednio wyjaśnić i w takim przypadku nie ma obowiązku dołączania deklaracji. </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5.2 do kategorii B.</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Uwzględnione w przedmiotowym punkcie będą również działania objęte wnioskiem, które z racji swojego charakteru nie będą miały znaczenia dla osiągnięcia celów dyrektywy. Wówczas nie załącza </w:t>
            </w:r>
            <w:r w:rsidRPr="00AD2E77">
              <w:rPr>
                <w:rFonts w:ascii="Arial" w:eastAsia="Times New Roman" w:hAnsi="Arial" w:cs="Arial"/>
                <w:sz w:val="20"/>
                <w:szCs w:val="20"/>
                <w:lang w:eastAsia="pl-PL"/>
              </w:rPr>
              <w:lastRenderedPageBreak/>
              <w:t>się deklaracji znajdującej się w dodatku nr 2, a dokonuje się stosownego wyjaśnienia w polu pod punktem 5.2.2. Będą to projekty sklasyfikowane wg pkt 5.2 do kategorii C.</w:t>
            </w:r>
          </w:p>
          <w:p w:rsidR="00AD2E77" w:rsidRPr="00AD2E77" w:rsidRDefault="00AD2E77" w:rsidP="00AD2E77">
            <w:pPr>
              <w:spacing w:after="120" w:line="240" w:lineRule="auto"/>
              <w:jc w:val="both"/>
              <w:rPr>
                <w:rFonts w:ascii="Arial" w:eastAsia="Times New Roman" w:hAnsi="Arial" w:cs="Arial"/>
                <w:b/>
                <w:sz w:val="20"/>
                <w:szCs w:val="20"/>
                <w:u w:val="single"/>
                <w:lang w:eastAsia="pl-PL"/>
              </w:rPr>
            </w:pPr>
            <w:r w:rsidRPr="00AD2E77">
              <w:rPr>
                <w:rFonts w:ascii="Arial" w:eastAsia="Times New Roman" w:hAnsi="Arial" w:cs="Arial"/>
                <w:b/>
                <w:sz w:val="20"/>
                <w:szCs w:val="20"/>
                <w:u w:val="single"/>
                <w:lang w:eastAsia="pl-PL"/>
              </w:rPr>
              <w:t xml:space="preserve">1. Informacje istotne w procesie pozyskania deklaracji organu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odniesieniu do projektów sklasyfikowanych wg pkt 5.2 do kategorii B wymagających deklaracji organu, przed przystąpieniem do jej pozyskania należy zwrócić uwagę na następujące zagadnienia:</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1.1</w:t>
            </w:r>
            <w:r w:rsidRPr="00AD2E77">
              <w:rPr>
                <w:rFonts w:ascii="Arial" w:eastAsia="Times New Roman" w:hAnsi="Arial" w:cs="Arial"/>
                <w:sz w:val="20"/>
                <w:szCs w:val="20"/>
                <w:lang w:eastAsia="pl-PL"/>
              </w:rPr>
              <w:t xml:space="preserve"> grupa przedsięwzięcia wg rozporządzenia Rady Ministrów z dnia 9 listopada 2010 r. w sprawie przedsięwzięć mogących znacząco oddziaływać na środowisko (Dz. U. z 2010 r., nr 213, poz. 1397, z </w:t>
            </w:r>
            <w:proofErr w:type="spellStart"/>
            <w:r w:rsidRPr="00AD2E77">
              <w:rPr>
                <w:rFonts w:ascii="Arial" w:eastAsia="Times New Roman" w:hAnsi="Arial" w:cs="Arial"/>
                <w:sz w:val="20"/>
                <w:szCs w:val="20"/>
                <w:lang w:eastAsia="pl-PL"/>
              </w:rPr>
              <w:t>późn</w:t>
            </w:r>
            <w:proofErr w:type="spellEnd"/>
            <w:r w:rsidRPr="00AD2E77">
              <w:rPr>
                <w:rFonts w:ascii="Arial" w:eastAsia="Times New Roman" w:hAnsi="Arial" w:cs="Arial"/>
                <w:sz w:val="20"/>
                <w:szCs w:val="20"/>
                <w:lang w:eastAsia="pl-PL"/>
              </w:rPr>
              <w:t>. zm.)</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Z uwagi na fakt, iż w polskim prawie kwestie dotyczące odstępstwa z art. 4 ust. 7 Ramowej Dyrektywy Wodnej włączone są w ustawę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w:t>
            </w:r>
            <w:proofErr w:type="spellStart"/>
            <w:r w:rsidRPr="00AD2E77">
              <w:rPr>
                <w:rFonts w:ascii="Arial" w:eastAsia="Times New Roman" w:hAnsi="Arial" w:cs="Arial"/>
                <w:sz w:val="20"/>
                <w:szCs w:val="20"/>
                <w:lang w:eastAsia="pl-PL"/>
              </w:rPr>
              <w:t>późn</w:t>
            </w:r>
            <w:proofErr w:type="spellEnd"/>
            <w:r w:rsidRPr="00AD2E77">
              <w:rPr>
                <w:rFonts w:ascii="Arial" w:eastAsia="Times New Roman" w:hAnsi="Arial" w:cs="Arial"/>
                <w:sz w:val="20"/>
                <w:szCs w:val="20"/>
                <w:lang w:eastAsia="pl-PL"/>
              </w:rPr>
              <w:t xml:space="preserve">.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Należy zaznaczyć, iż brak klasyfikacji przedsięwzięcia do grupy I lub II nie oznacza automatycznie braku możliwości wpływu na stan wód i ekosystemów od nich zależnych.</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1.2</w:t>
            </w:r>
            <w:r w:rsidRPr="00AD2E77">
              <w:rPr>
                <w:rFonts w:ascii="Arial" w:eastAsia="Times New Roman" w:hAnsi="Arial" w:cs="Arial"/>
                <w:sz w:val="20"/>
                <w:szCs w:val="20"/>
                <w:lang w:eastAsia="pl-PL"/>
              </w:rPr>
              <w:t xml:space="preserve"> art. 81 ust. 3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oraz wejście w życie przepisów ustawy z dnia 5 stycznia 2011 roku </w:t>
            </w:r>
            <w:r w:rsidRPr="00AD2E77">
              <w:rPr>
                <w:rFonts w:ascii="Arial" w:eastAsia="Times New Roman" w:hAnsi="Arial" w:cs="Arial"/>
                <w:i/>
                <w:sz w:val="20"/>
                <w:szCs w:val="20"/>
                <w:lang w:eastAsia="pl-PL"/>
              </w:rPr>
              <w:t>o zmianie ustawy Prawo wodne oraz niektórych innych ustaw.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Kluczową datą jest 18 marca 2011 r., kiedy w życie </w:t>
            </w:r>
            <w:r w:rsidRPr="00AD2E77">
              <w:rPr>
                <w:rFonts w:ascii="Arial" w:eastAsia="Times New Roman" w:hAnsi="Arial" w:cs="Arial"/>
                <w:sz w:val="20"/>
                <w:szCs w:val="20"/>
                <w:u w:val="single"/>
                <w:lang w:eastAsia="pl-PL"/>
              </w:rPr>
              <w:t>weszły</w:t>
            </w:r>
            <w:r w:rsidRPr="00AD2E77">
              <w:rPr>
                <w:rFonts w:ascii="Arial" w:eastAsia="Times New Roman" w:hAnsi="Arial" w:cs="Arial"/>
                <w:sz w:val="20"/>
                <w:szCs w:val="20"/>
                <w:lang w:eastAsia="pl-PL"/>
              </w:rPr>
              <w:t xml:space="preserve"> przepisy ustawy z dnia 5 stycznia 2011 r. Wspomnianą ustawą wprowadzono do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13" w:anchor="hiperlinkText.rpc?hiperlink=type=tresc:nro=Powszechny.1403960:part=a38%28j%29:ver=0&amp;full=1" w:tgtFrame="_parent" w:history="1">
              <w:r w:rsidRPr="00AD2E77">
                <w:rPr>
                  <w:rFonts w:ascii="Arial" w:eastAsia="Times New Roman" w:hAnsi="Arial" w:cs="Arial"/>
                  <w:color w:val="0000FF"/>
                  <w:sz w:val="20"/>
                  <w:szCs w:val="20"/>
                  <w:u w:val="single"/>
                  <w:lang w:eastAsia="pl-PL"/>
                </w:rPr>
                <w:t>art. 38j</w:t>
              </w:r>
            </w:hyperlink>
            <w:r w:rsidRPr="00AD2E77">
              <w:rPr>
                <w:rFonts w:ascii="Arial" w:eastAsia="Times New Roman" w:hAnsi="Arial" w:cs="Arial"/>
                <w:sz w:val="20"/>
                <w:szCs w:val="20"/>
                <w:lang w:eastAsia="pl-PL"/>
              </w:rPr>
              <w:t xml:space="preserve"> ustawy z dnia 18 lipca 2001 r. - Prawo wodne. W związku z art. 20 </w:t>
            </w:r>
            <w:r w:rsidRPr="00AD2E77">
              <w:rPr>
                <w:rFonts w:ascii="Arial" w:eastAsia="Times New Roman" w:hAnsi="Arial" w:cs="Arial"/>
                <w:i/>
                <w:sz w:val="20"/>
                <w:szCs w:val="20"/>
                <w:lang w:eastAsia="pl-PL"/>
              </w:rPr>
              <w:t>ustawy z dnia 5 stycznia 2011 r</w:t>
            </w:r>
            <w:r w:rsidRPr="00AD2E77">
              <w:rPr>
                <w:rFonts w:ascii="Arial" w:eastAsia="Times New Roman" w:hAnsi="Arial" w:cs="Arial"/>
                <w:sz w:val="20"/>
                <w:szCs w:val="20"/>
                <w:lang w:eastAsia="pl-PL"/>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lastRenderedPageBreak/>
              <w:t>1.3</w:t>
            </w:r>
            <w:r w:rsidRPr="00AD2E77">
              <w:rPr>
                <w:rFonts w:ascii="Arial" w:eastAsia="Times New Roman" w:hAnsi="Arial" w:cs="Arial"/>
                <w:sz w:val="20"/>
                <w:szCs w:val="20"/>
                <w:lang w:eastAsia="pl-PL"/>
              </w:rPr>
              <w:t xml:space="preserve"> Plan działania w zakresie planowania strategicznego w gospodarce wodnej oraz </w:t>
            </w:r>
            <w:proofErr w:type="spellStart"/>
            <w:r w:rsidRPr="00AD2E77">
              <w:rPr>
                <w:rFonts w:ascii="Arial" w:eastAsia="Times New Roman" w:hAnsi="Arial" w:cs="Arial"/>
                <w:sz w:val="20"/>
                <w:szCs w:val="20"/>
                <w:lang w:eastAsia="pl-PL"/>
              </w:rPr>
              <w:t>Masterplany</w:t>
            </w:r>
            <w:proofErr w:type="spellEnd"/>
            <w:r w:rsidRPr="00AD2E77">
              <w:rPr>
                <w:rFonts w:ascii="Arial" w:eastAsia="Times New Roman" w:hAnsi="Arial" w:cs="Arial"/>
                <w:sz w:val="20"/>
                <w:szCs w:val="20"/>
                <w:lang w:eastAsia="pl-PL"/>
              </w:rPr>
              <w:t xml:space="preserve"> dla obszarów dorzeczy Wisły i Odry</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2 lipca 2014 r. Rada Ministrów podjęła uchwałę w sprawie przyjęcia „</w:t>
            </w:r>
            <w:r w:rsidRPr="00AD2E77">
              <w:rPr>
                <w:rFonts w:ascii="Arial" w:eastAsia="Times New Roman" w:hAnsi="Arial" w:cs="Arial"/>
                <w:i/>
                <w:sz w:val="20"/>
                <w:szCs w:val="20"/>
                <w:lang w:eastAsia="pl-PL"/>
              </w:rPr>
              <w:t>Planu działania w zakresie planowania strategicznego w gospodarce wodnej</w:t>
            </w:r>
            <w:r w:rsidRPr="00AD2E77">
              <w:rPr>
                <w:rFonts w:ascii="Arial" w:eastAsia="Times New Roman" w:hAnsi="Arial" w:cs="Arial"/>
                <w:sz w:val="20"/>
                <w:szCs w:val="20"/>
                <w:lang w:eastAsia="pl-PL"/>
              </w:rPr>
              <w:t xml:space="preserve">”, przedłożoną przez Ministra Środowiska. Zgodnie z </w:t>
            </w:r>
            <w:r w:rsidRPr="00AD2E77">
              <w:rPr>
                <w:rFonts w:ascii="Arial" w:eastAsia="Times New Roman" w:hAnsi="Arial" w:cs="Arial"/>
                <w:i/>
                <w:sz w:val="20"/>
                <w:szCs w:val="20"/>
                <w:lang w:eastAsia="pl-PL"/>
              </w:rPr>
              <w:t>Planem działania w zakresie planowania strategicznego w gospodarce wodnej</w:t>
            </w:r>
            <w:r w:rsidRPr="00AD2E77">
              <w:rPr>
                <w:rFonts w:ascii="Arial" w:eastAsia="Times New Roman" w:hAnsi="Arial" w:cs="Arial"/>
                <w:sz w:val="20"/>
                <w:szCs w:val="20"/>
                <w:lang w:eastAsia="pl-PL"/>
              </w:rPr>
              <w:t xml:space="preserve">, </w:t>
            </w:r>
            <w:proofErr w:type="spellStart"/>
            <w:r w:rsidRPr="00AD2E77">
              <w:rPr>
                <w:rFonts w:ascii="Arial" w:eastAsia="Times New Roman" w:hAnsi="Arial" w:cs="Arial"/>
                <w:sz w:val="20"/>
                <w:szCs w:val="20"/>
                <w:lang w:eastAsia="pl-PL"/>
              </w:rPr>
              <w:t>Masterplany</w:t>
            </w:r>
            <w:proofErr w:type="spellEnd"/>
            <w:r w:rsidRPr="00AD2E77">
              <w:rPr>
                <w:rFonts w:ascii="Arial" w:eastAsia="Times New Roman" w:hAnsi="Arial" w:cs="Arial"/>
                <w:sz w:val="20"/>
                <w:szCs w:val="20"/>
                <w:lang w:eastAsia="pl-PL"/>
              </w:rPr>
              <w:t xml:space="preserve"> obejmują wszystkie projekty wskazane w </w:t>
            </w:r>
            <w:r w:rsidRPr="00AD2E77">
              <w:rPr>
                <w:rFonts w:ascii="Arial" w:eastAsia="Times New Roman" w:hAnsi="Arial" w:cs="Arial"/>
                <w:i/>
                <w:sz w:val="20"/>
                <w:szCs w:val="20"/>
                <w:lang w:eastAsia="pl-PL"/>
              </w:rPr>
              <w:t xml:space="preserve">Planie… </w:t>
            </w:r>
            <w:r w:rsidRPr="00AD2E77">
              <w:rPr>
                <w:rFonts w:ascii="Arial" w:eastAsia="Times New Roman" w:hAnsi="Arial" w:cs="Arial"/>
                <w:sz w:val="20"/>
                <w:szCs w:val="20"/>
                <w:lang w:eastAsia="pl-PL"/>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AD2E77">
              <w:rPr>
                <w:rFonts w:ascii="Arial" w:eastAsia="Times New Roman" w:hAnsi="Arial" w:cs="Arial"/>
                <w:i/>
                <w:sz w:val="20"/>
                <w:szCs w:val="20"/>
                <w:lang w:eastAsia="pl-PL"/>
              </w:rPr>
              <w:t>Inwestycje, które nie wpływają negatywnie na osiągnięcie dobrego stanu wód lub nie pogarszają stanu wód</w:t>
            </w:r>
            <w:r w:rsidRPr="00AD2E77">
              <w:rPr>
                <w:rFonts w:ascii="Arial" w:eastAsia="Times New Roman" w:hAnsi="Arial" w:cs="Arial"/>
                <w:sz w:val="20"/>
                <w:szCs w:val="20"/>
                <w:lang w:eastAsia="pl-PL"/>
              </w:rPr>
              <w:t xml:space="preserve"> Master Planu dla obszaru dorzecza Wisły oraz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Odry podstawę wydania niniejszej deklaracji stanowi przedmiotowa lista wykonana na podstawie oceny dokonanej na etapie realizacji obu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 xml:space="preserve">. Sytuacja taka dotyczy przypadków, gdy zakres ocenianego działania/projektu jest tożsamy z zakresem ocenianym na etapie zatwierdzania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Arial" w:eastAsia="Times New Roman" w:hAnsi="Arial" w:cs="Arial"/>
                <w:b/>
                <w:sz w:val="20"/>
                <w:szCs w:val="20"/>
                <w:u w:val="single"/>
                <w:lang w:eastAsia="pl-PL"/>
              </w:rPr>
            </w:pPr>
            <w:r w:rsidRPr="00AD2E77">
              <w:rPr>
                <w:rFonts w:ascii="Arial" w:eastAsia="Times New Roman" w:hAnsi="Arial" w:cs="Arial"/>
                <w:b/>
                <w:sz w:val="20"/>
                <w:szCs w:val="20"/>
                <w:u w:val="single"/>
                <w:lang w:eastAsia="pl-PL"/>
              </w:rPr>
              <w:t>2. Proces pozyskania deklaracji organu</w:t>
            </w:r>
            <w:r w:rsidRPr="00AD2E77">
              <w:rPr>
                <w:rFonts w:ascii="Arial" w:eastAsia="Times New Roman" w:hAnsi="Arial" w:cs="Arial"/>
                <w:sz w:val="20"/>
                <w:szCs w:val="20"/>
                <w:lang w:eastAsia="pl-PL"/>
              </w:rPr>
              <w:t xml:space="preserve"> (o której mowa w pkt 5.2.2)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Przystępując do pozyskania deklaracji należy projekty sklasyfikowane w pkt 5.2 do Kategorii B podzielić, z uwagi na powyżej wskazane w punkcie 1 kwestie, na trzy podkategorie: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B.1.</w:t>
            </w:r>
            <w:r w:rsidRPr="00AD2E77">
              <w:rPr>
                <w:rFonts w:ascii="Arial" w:eastAsia="Times New Roman" w:hAnsi="Arial" w:cs="Arial"/>
                <w:sz w:val="20"/>
                <w:szCs w:val="20"/>
                <w:lang w:eastAsia="pl-PL"/>
              </w:rPr>
              <w:t xml:space="preserve"> Projekty ujęte w Załączniku nr 2 Lista nr 1 </w:t>
            </w:r>
            <w:r w:rsidRPr="00AD2E77">
              <w:rPr>
                <w:rFonts w:ascii="Arial" w:eastAsia="Times New Roman" w:hAnsi="Arial" w:cs="Arial"/>
                <w:i/>
                <w:sz w:val="20"/>
                <w:szCs w:val="20"/>
                <w:lang w:eastAsia="pl-PL"/>
              </w:rPr>
              <w:t>Inwestycje, które nie wpływają negatywnie na osiągnięcie dobrego stanu wód lub nie pogarszają stanu wód</w:t>
            </w:r>
            <w:r w:rsidRPr="00AD2E77">
              <w:rPr>
                <w:rFonts w:ascii="Arial" w:eastAsia="Times New Roman" w:hAnsi="Arial" w:cs="Arial"/>
                <w:sz w:val="20"/>
                <w:szCs w:val="20"/>
                <w:lang w:eastAsia="pl-PL"/>
              </w:rPr>
              <w:t xml:space="preserve">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Wisły oraz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Odry.</w:t>
            </w:r>
          </w:p>
          <w:p w:rsidR="00AD2E77" w:rsidRPr="00AD2E77" w:rsidRDefault="00AD2E77" w:rsidP="00AD2E77">
            <w:pPr>
              <w:spacing w:after="120" w:line="240" w:lineRule="auto"/>
              <w:jc w:val="both"/>
              <w:rPr>
                <w:rFonts w:ascii="Arial" w:eastAsia="Times New Roman" w:hAnsi="Arial" w:cs="Arial"/>
                <w:b/>
                <w:sz w:val="20"/>
                <w:szCs w:val="20"/>
                <w:lang w:eastAsia="pl-PL"/>
              </w:rPr>
            </w:pPr>
            <w:r w:rsidRPr="00AD2E77">
              <w:rPr>
                <w:rFonts w:ascii="Arial" w:eastAsia="Times New Roman" w:hAnsi="Arial" w:cs="Arial"/>
                <w:sz w:val="20"/>
                <w:szCs w:val="20"/>
                <w:lang w:eastAsia="pl-PL"/>
              </w:rPr>
              <w:t xml:space="preserve">W przypadku tych projektów podstawą wydania deklaracji, będzie wspomniana powyżej lista zawarta w Załączniku nr 2 Lista nr 1 </w:t>
            </w:r>
            <w:r w:rsidRPr="00AD2E77">
              <w:rPr>
                <w:rFonts w:ascii="Arial" w:eastAsia="Times New Roman" w:hAnsi="Arial" w:cs="Arial"/>
                <w:i/>
                <w:sz w:val="20"/>
                <w:szCs w:val="20"/>
                <w:lang w:eastAsia="pl-PL"/>
              </w:rPr>
              <w:t>Inwestycje, które nie wpływają negatywnie na osiągnięcie dobrego stanu wód lub nie pogarszają stanu wód</w:t>
            </w:r>
            <w:r w:rsidRPr="00AD2E77">
              <w:rPr>
                <w:rFonts w:ascii="Arial" w:eastAsia="Times New Roman" w:hAnsi="Arial" w:cs="Arial"/>
                <w:sz w:val="20"/>
                <w:szCs w:val="20"/>
                <w:lang w:eastAsia="pl-PL"/>
              </w:rPr>
              <w:t xml:space="preserve">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Wisły oraz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Odry</w:t>
            </w:r>
            <w:r w:rsidRPr="00AD2E77">
              <w:rPr>
                <w:rFonts w:ascii="Arial" w:eastAsia="Times New Roman" w:hAnsi="Arial" w:cs="Arial"/>
                <w:b/>
                <w:sz w:val="20"/>
                <w:szCs w:val="20"/>
                <w:lang w:eastAsia="pl-PL"/>
              </w:rPr>
              <w:t>.</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B.2.</w:t>
            </w:r>
            <w:r w:rsidRPr="00AD2E77">
              <w:rPr>
                <w:rFonts w:ascii="Arial" w:eastAsia="Times New Roman" w:hAnsi="Arial" w:cs="Arial"/>
                <w:sz w:val="20"/>
                <w:szCs w:val="20"/>
                <w:lang w:eastAsia="pl-PL"/>
              </w:rPr>
              <w:t xml:space="preserve"> Projekty nie ujęte w B.1, dla których postępowanie w sprawie decyzji o środowiskowych uwarunkowaniach zostało wszczęte po 18 marca 2011 r.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przypadku tych projektów podstawą wydania deklaracji powinna być ocena oddziaływania przedsięwzięcia/elementów projektu na stan wód przeprowadzona w ramach postępowania </w:t>
            </w:r>
            <w:proofErr w:type="spellStart"/>
            <w:r w:rsidRPr="00AD2E77">
              <w:rPr>
                <w:rFonts w:ascii="Arial" w:eastAsia="Times New Roman" w:hAnsi="Arial" w:cs="Arial"/>
                <w:sz w:val="20"/>
                <w:szCs w:val="20"/>
                <w:lang w:eastAsia="pl-PL"/>
              </w:rPr>
              <w:t>ws</w:t>
            </w:r>
            <w:proofErr w:type="spellEnd"/>
            <w:r w:rsidRPr="00AD2E77">
              <w:rPr>
                <w:rFonts w:ascii="Arial" w:eastAsia="Times New Roman" w:hAnsi="Arial" w:cs="Arial"/>
                <w:sz w:val="20"/>
                <w:szCs w:val="20"/>
                <w:lang w:eastAsia="pl-PL"/>
              </w:rPr>
              <w:t>.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B.3.</w:t>
            </w:r>
            <w:r w:rsidRPr="00AD2E77">
              <w:rPr>
                <w:rFonts w:ascii="Arial" w:eastAsia="Times New Roman" w:hAnsi="Arial" w:cs="Arial"/>
                <w:sz w:val="20"/>
                <w:szCs w:val="20"/>
                <w:lang w:eastAsia="pl-PL"/>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u w:val="single"/>
                <w:lang w:eastAsia="pl-PL"/>
              </w:rPr>
              <w:t>B.3.1.</w:t>
            </w:r>
            <w:r w:rsidRPr="00AD2E77">
              <w:rPr>
                <w:rFonts w:ascii="Arial" w:eastAsia="Times New Roman" w:hAnsi="Arial" w:cs="Arial"/>
                <w:sz w:val="20"/>
                <w:szCs w:val="20"/>
                <w:lang w:eastAsia="pl-PL"/>
              </w:rPr>
              <w:t xml:space="preserve"> W przypadku, kiedy nie zidentyfikowano czynników wpływu na jednolite części wód w związku z realizacją działań objętych niniejszym formularzem, podstawą wydania deklaracji będzie opracowanie przygotowane przez inwestora dotyczące podsumowania dotychczasowej wiedzy na </w:t>
            </w:r>
            <w:r w:rsidRPr="00AD2E77">
              <w:rPr>
                <w:rFonts w:ascii="Arial" w:eastAsia="Times New Roman" w:hAnsi="Arial" w:cs="Arial"/>
                <w:sz w:val="20"/>
                <w:szCs w:val="20"/>
                <w:lang w:eastAsia="pl-PL"/>
              </w:rPr>
              <w:lastRenderedPageBreak/>
              <w:t>temat zgodności przedsięwzięcia/elementów projektu z przepisami Ramowej Dyrektywy Wodnej, obejmujące w szczególności: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charakterystykę zakresu i sposobu funkcjonowania projektu ze wskazaniem, jeżeli takie zostały zidentyfikowane, elementów istotnych z punktu widzenia możliwości negatywnego wpływu na osiągnięcie dobrego stanu wód lub pogorszenia stanu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wyjaśnienia potwierdzające brak zidentyfikowanych czynników oddziaływania projektu na poszczególne elementy stanu jednolitych części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Prowadząc analizę w zakresie identyfikacji czynników wpływu na jednolite części wód należy mieć na uwadze całościowy zakres projektu (np. ujęte w projekcie działania minimalizujące i łagodzące).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u w:val="single"/>
                <w:lang w:eastAsia="pl-PL"/>
              </w:rPr>
              <w:t>B.3.2.</w:t>
            </w:r>
            <w:r w:rsidRPr="00AD2E77">
              <w:rPr>
                <w:rFonts w:ascii="Arial" w:eastAsia="Times New Roman" w:hAnsi="Arial" w:cs="Arial"/>
                <w:sz w:val="20"/>
                <w:szCs w:val="20"/>
                <w:lang w:eastAsia="pl-PL"/>
              </w:rPr>
              <w:t xml:space="preserve"> W przypadku, kiedy zidentyfikowano czynniki oddziaływania na jednolite części wód w związku z realizacją działań objętych niniejszym formularzem, podstawą wydania deklaracji będzie opracowanie przygotowane przez inwestora dotyczące podsumowania dotychczasowej wiedzy na temat zgodności przedsięwzięcia/elementów projektu z przepisami Ramowej Dyrektywy Wodnej, obejmujące w szczególności:.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charakterystykę zakresu i sposobu funkcjonowania projektu ze wskazaniem, jeżeli takie zostały zidentyfikowane, elementów istotnych z punktu widzenia możliwości negatywnego wpływu na osiągnięcie dobrego stanu wód lub pogorszenia stanu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identyfikację czynników oddziaływania projektu na poszczególne elementy stanu jednolitych części wód, oraz ocena ich wpływu na cele środowiskowe,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przypadku inwestycji, dla których procedura wydawania decyzji o środowiskowych uwarunkowaniach została wszczęta </w:t>
            </w:r>
            <w:r w:rsidRPr="00AD2E77">
              <w:rPr>
                <w:rFonts w:ascii="Arial" w:eastAsia="Times New Roman" w:hAnsi="Arial" w:cs="Arial"/>
                <w:sz w:val="20"/>
                <w:szCs w:val="20"/>
                <w:u w:val="single"/>
                <w:lang w:eastAsia="pl-PL"/>
              </w:rPr>
              <w:t>przed wejściem</w:t>
            </w:r>
            <w:r w:rsidRPr="00AD2E77">
              <w:rPr>
                <w:rFonts w:ascii="Arial" w:eastAsia="Times New Roman" w:hAnsi="Arial" w:cs="Arial"/>
                <w:sz w:val="20"/>
                <w:szCs w:val="20"/>
                <w:lang w:eastAsia="pl-PL"/>
              </w:rPr>
              <w:t xml:space="preserve"> w życie ustawy z dnia 5 stycznia 2011 r. oraz uwzględniono w procedurze wydawania decyzji o środowiskowych uwarunkowaniach wymogi Ramowej Dyrektywy Wodnej, stanowić ona będzie podstawę wydania deklaracji.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Jeżeli wnioskodawca jest w posiadaniu opracowań dotyczących wpływu przedsięwzięcia na stan wód może je przedstawić, wraz z wnioskiem o wydanie przedmiotowej deklaracji.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w:t>
            </w:r>
            <w:r w:rsidRPr="00AD2E77">
              <w:rPr>
                <w:rFonts w:ascii="Arial" w:eastAsia="Times New Roman" w:hAnsi="Arial" w:cs="Arial"/>
                <w:sz w:val="20"/>
                <w:szCs w:val="20"/>
                <w:lang w:eastAsia="pl-PL"/>
              </w:rPr>
              <w:lastRenderedPageBreak/>
              <w:t xml:space="preserve">środowiskowych została wszczęta po, jak i przed wejściem w życie </w:t>
            </w:r>
            <w:r w:rsidRPr="00AD2E77">
              <w:rPr>
                <w:rFonts w:ascii="Arial" w:eastAsia="Times New Roman" w:hAnsi="Arial" w:cs="Arial"/>
                <w:i/>
                <w:sz w:val="20"/>
                <w:szCs w:val="20"/>
                <w:lang w:eastAsia="pl-PL"/>
              </w:rPr>
              <w:t>ustawy z dnia 5 stycznia 2011 r.</w:t>
            </w:r>
            <w:r w:rsidRPr="00AD2E77">
              <w:rPr>
                <w:rFonts w:ascii="Arial" w:eastAsia="Times New Roman" w:hAnsi="Arial" w:cs="Arial"/>
                <w:sz w:val="20"/>
                <w:szCs w:val="20"/>
                <w:lang w:eastAsia="pl-PL"/>
              </w:rPr>
              <w:t xml:space="preserve"> muszą zostać wpisane do zaktualizowanego Planu gospodarowania na obszarze dorzecza.</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lastRenderedPageBreak/>
        <w:t xml:space="preserve">5.3 </w:t>
      </w:r>
      <w:r w:rsidRPr="00AD2E77">
        <w:rPr>
          <w:rFonts w:ascii="Arial" w:eastAsia="Times New Roman"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601"/>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przedmiotowym punkcie należy dokonać identyfikacji jednolitych części wód, których dotyczy planowany projekt oraz przypisanych im celów środowiskowych.</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AD2E77" w:rsidRPr="00AD2E77" w:rsidRDefault="00AD2E77" w:rsidP="00AD2E77">
      <w:pPr>
        <w:spacing w:before="120" w:after="120" w:line="240" w:lineRule="auto"/>
        <w:ind w:left="601"/>
        <w:jc w:val="both"/>
        <w:rPr>
          <w:rFonts w:ascii="Arial" w:eastAsia="Times New Roman" w:hAnsi="Arial" w:cs="Arial"/>
          <w:sz w:val="20"/>
          <w:szCs w:val="20"/>
          <w:lang w:eastAsia="en-GB"/>
        </w:rPr>
      </w:pPr>
    </w:p>
    <w:p w:rsidR="00AD2E77" w:rsidRPr="00AD2E77" w:rsidRDefault="00AD2E77" w:rsidP="00AD2E77">
      <w:pPr>
        <w:keepNext/>
        <w:spacing w:before="120" w:after="120" w:line="240" w:lineRule="auto"/>
        <w:ind w:left="600" w:hanging="600"/>
        <w:jc w:val="both"/>
        <w:outlineLvl w:val="1"/>
        <w:rPr>
          <w:rFonts w:ascii="Arial" w:eastAsia="Times New Roman" w:hAnsi="Arial" w:cs="Arial"/>
          <w:b/>
          <w:bCs/>
          <w:sz w:val="20"/>
          <w:szCs w:val="20"/>
          <w:lang w:eastAsia="en-GB"/>
        </w:rPr>
      </w:pPr>
      <w:r w:rsidRPr="00AD2E77">
        <w:rPr>
          <w:rFonts w:ascii="Arial" w:eastAsia="Times New Roman" w:hAnsi="Arial" w:cs="Arial"/>
          <w:b/>
          <w:bCs/>
          <w:sz w:val="20"/>
          <w:szCs w:val="20"/>
          <w:lang w:eastAsia="en-GB"/>
        </w:rPr>
        <w:t>6.</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 xml:space="preserve">W stosownych przypadkach, informacje na temat zgodności z innymi dyrektywami środowiskowymi </w:t>
      </w:r>
    </w:p>
    <w:p w:rsidR="00AD2E77" w:rsidRPr="00AD2E77" w:rsidRDefault="00AD2E77" w:rsidP="00AD2E77">
      <w:pPr>
        <w:keepNext/>
        <w:spacing w:before="120" w:after="120" w:line="240" w:lineRule="auto"/>
        <w:jc w:val="both"/>
        <w:outlineLvl w:val="1"/>
        <w:rPr>
          <w:rFonts w:ascii="Times New Roman" w:eastAsia="Times New Roman" w:hAnsi="Times New Roman" w:cs="Times New Roman"/>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Dla każdej z wymienionych poniżej dyrektyw, jeśli dotyczy, należy wskazać odpowiednie decyzje administracyjne, w których organ administracji dokonał stosownego rozpatrzenia zgodnie z aktualnym na dzień złożenia Wniosku prawodawstwem.</w:t>
            </w:r>
          </w:p>
        </w:tc>
      </w:tr>
    </w:tbl>
    <w:p w:rsidR="00AD2E77" w:rsidRPr="00AD2E77" w:rsidRDefault="00AD2E77" w:rsidP="00AD2E77">
      <w:pPr>
        <w:keepNext/>
        <w:spacing w:before="120" w:after="120" w:line="240" w:lineRule="auto"/>
        <w:jc w:val="both"/>
        <w:outlineLvl w:val="1"/>
        <w:rPr>
          <w:rFonts w:ascii="Arial" w:eastAsia="Times New Roman" w:hAnsi="Arial" w:cs="Arial"/>
          <w:b/>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6.1</w:t>
      </w:r>
      <w:r w:rsidRPr="00AD2E77">
        <w:rPr>
          <w:rFonts w:ascii="Arial" w:eastAsia="Times New Roman" w:hAnsi="Arial" w:cs="Arial"/>
          <w:sz w:val="20"/>
          <w:szCs w:val="20"/>
          <w:lang w:eastAsia="en-GB"/>
        </w:rPr>
        <w:tab/>
        <w:t>Stosowanie dyrektywy Rady 91/271/EWG</w:t>
      </w:r>
      <w:r w:rsidRPr="00AD2E77">
        <w:rPr>
          <w:rFonts w:ascii="Arial" w:eastAsia="Times New Roman" w:hAnsi="Arial" w:cs="Arial"/>
          <w:sz w:val="20"/>
          <w:szCs w:val="20"/>
          <w:vertAlign w:val="superscript"/>
          <w:lang w:eastAsia="en-GB"/>
        </w:rPr>
        <w:footnoteReference w:id="15"/>
      </w:r>
      <w:r w:rsidRPr="00AD2E77">
        <w:rPr>
          <w:rFonts w:ascii="Arial" w:eastAsia="Times New Roman" w:hAnsi="Arial" w:cs="Arial"/>
          <w:sz w:val="20"/>
          <w:szCs w:val="20"/>
          <w:lang w:eastAsia="en-GB"/>
        </w:rPr>
        <w:t xml:space="preserve"> („dyrektywy dotyczącej oczyszczania ścieków komunalnych”) – projekty w sektorze usług zbiorowego zaopatrzenia w wodę i zbiorowe odprowadzanie ścieków komunalnych.</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1)</w:t>
      </w:r>
      <w:r w:rsidRPr="00AD2E77">
        <w:rPr>
          <w:rFonts w:ascii="Arial" w:eastAsia="Times New Roman" w:hAnsi="Arial" w:cs="Arial"/>
          <w:sz w:val="20"/>
          <w:szCs w:val="20"/>
          <w:lang w:eastAsia="en-GB"/>
        </w:rPr>
        <w:tab/>
        <w:t>Należy wypełnić dodatek 3 do formularza (tabelę dotyczącą zgodności z dyrektywą dotyczącą oczyszczania ścieków komunalnych).</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2)</w:t>
      </w:r>
      <w:r w:rsidRPr="00AD2E77">
        <w:rPr>
          <w:rFonts w:ascii="Arial" w:eastAsia="Times New Roman" w:hAnsi="Arial" w:cs="Arial"/>
          <w:sz w:val="20"/>
          <w:szCs w:val="20"/>
          <w:lang w:eastAsia="en-GB"/>
        </w:rPr>
        <w:tab/>
        <w:t>Należy wyjaśnić, w jaki sposób projekt jest spójny z planem lub programem związanym z wdrażaniem dyrektywy dotyczącej oczyszczania ścieków komunalnych.</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 xml:space="preserve">: </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rsidR="00AD2E77" w:rsidRPr="00AD2E77" w:rsidRDefault="00AD2E77" w:rsidP="00AD2E77">
            <w:pPr>
              <w:numPr>
                <w:ilvl w:val="0"/>
                <w:numId w:val="6"/>
              </w:numPr>
              <w:spacing w:after="120" w:line="240" w:lineRule="auto"/>
              <w:jc w:val="both"/>
              <w:rPr>
                <w:rFonts w:ascii="Arial" w:eastAsia="Times New Roman" w:hAnsi="Arial" w:cs="Arial"/>
                <w:i/>
                <w:sz w:val="20"/>
                <w:szCs w:val="20"/>
                <w:lang w:eastAsia="pl-PL"/>
              </w:rPr>
            </w:pPr>
            <w:r w:rsidRPr="00AD2E77">
              <w:rPr>
                <w:rFonts w:ascii="Arial" w:eastAsia="Times New Roman" w:hAnsi="Arial" w:cs="Arial"/>
                <w:sz w:val="20"/>
                <w:szCs w:val="20"/>
                <w:lang w:eastAsia="pl-PL"/>
              </w:rPr>
              <w:t xml:space="preserve">Wielkość aglomeracji oraz jej zgodność z aktualną wersją </w:t>
            </w:r>
            <w:r w:rsidRPr="00AD2E77">
              <w:rPr>
                <w:rFonts w:ascii="Arial" w:eastAsia="Times New Roman" w:hAnsi="Arial" w:cs="Arial"/>
                <w:i/>
                <w:sz w:val="20"/>
                <w:szCs w:val="20"/>
                <w:lang w:eastAsia="pl-PL"/>
              </w:rPr>
              <w:t xml:space="preserve">Krajowego Programu Oczyszczania Ścieków Komunalnych </w:t>
            </w:r>
            <w:r w:rsidRPr="00AD2E77">
              <w:rPr>
                <w:rFonts w:ascii="Arial" w:eastAsia="Times New Roman" w:hAnsi="Arial" w:cs="Arial"/>
                <w:sz w:val="20"/>
                <w:szCs w:val="20"/>
                <w:lang w:eastAsia="pl-PL"/>
              </w:rPr>
              <w:t>i Master Planem dla wdrażania dyrektywy 91/271/EWG</w:t>
            </w:r>
            <w:r w:rsidRPr="00AD2E77">
              <w:rPr>
                <w:rFonts w:ascii="Arial" w:eastAsia="Times New Roman" w:hAnsi="Arial" w:cs="Arial"/>
                <w:i/>
                <w:sz w:val="20"/>
                <w:szCs w:val="20"/>
                <w:lang w:eastAsia="pl-PL"/>
              </w:rPr>
              <w:t>.</w:t>
            </w:r>
          </w:p>
          <w:p w:rsidR="00AD2E77" w:rsidRPr="00AD2E77" w:rsidRDefault="00AD2E77" w:rsidP="00AD2E77">
            <w:pPr>
              <w:numPr>
                <w:ilvl w:val="0"/>
                <w:numId w:val="6"/>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Zgodnie z przepisami dyrektywy ściekowej warunkami koniecznymi do spełnienia przez aglomeracje jej wymogów są następujące aspekty, do których należy się odnieść:</w:t>
            </w:r>
          </w:p>
          <w:p w:rsidR="00AD2E77" w:rsidRPr="00AD2E77" w:rsidRDefault="00AD2E77" w:rsidP="00AD2E77">
            <w:pPr>
              <w:numPr>
                <w:ilvl w:val="0"/>
                <w:numId w:val="5"/>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wydajność oczyszczalni ścieków w aglomeracjach, która musi odpowiadać ładunkowi generowanemu na ich obszarze;</w:t>
            </w:r>
          </w:p>
          <w:p w:rsidR="00AD2E77" w:rsidRPr="00AD2E77" w:rsidRDefault="00AD2E77" w:rsidP="00AD2E77">
            <w:pPr>
              <w:numPr>
                <w:ilvl w:val="0"/>
                <w:numId w:val="5"/>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standardy oczyszczania ścieków w oczyszczalniach, które uzależnione są od wielkości aglomeracji; jakość oczyszczonych ścieków odprowadzanych z każdej oczyszczalni musi być zgodna z wymaganiami ustawy Prawo wodne</w:t>
            </w:r>
            <w:r w:rsidRPr="00AD2E77">
              <w:rPr>
                <w:rFonts w:ascii="Arial" w:eastAsia="Times New Roman" w:hAnsi="Arial" w:cs="Arial"/>
                <w:sz w:val="20"/>
                <w:szCs w:val="20"/>
                <w:vertAlign w:val="superscript"/>
                <w:lang w:eastAsia="pl-PL"/>
              </w:rPr>
              <w:footnoteReference w:id="16"/>
            </w:r>
            <w:r w:rsidRPr="00AD2E77">
              <w:rPr>
                <w:rFonts w:ascii="Arial" w:eastAsia="Times New Roman" w:hAnsi="Arial" w:cs="Arial"/>
                <w:sz w:val="20"/>
                <w:szCs w:val="20"/>
                <w:vertAlign w:val="superscript"/>
                <w:lang w:eastAsia="pl-PL"/>
              </w:rPr>
              <w:t xml:space="preserve"> </w:t>
            </w:r>
            <w:r w:rsidRPr="00AD2E77">
              <w:rPr>
                <w:rFonts w:ascii="Arial" w:eastAsia="Times New Roman" w:hAnsi="Arial" w:cs="Arial"/>
                <w:sz w:val="20"/>
                <w:szCs w:val="20"/>
                <w:lang w:eastAsia="pl-PL"/>
              </w:rPr>
              <w:t xml:space="preserve">i rozporządzeniem MŚ w sprawie warunków, </w:t>
            </w:r>
            <w:r w:rsidRPr="00AD2E77">
              <w:rPr>
                <w:rFonts w:ascii="Arial" w:eastAsia="Times New Roman" w:hAnsi="Arial" w:cs="Arial"/>
                <w:sz w:val="20"/>
                <w:szCs w:val="20"/>
                <w:lang w:eastAsia="pl-PL"/>
              </w:rPr>
              <w:lastRenderedPageBreak/>
              <w:t>jakie należy spełnić przy wprowadzaniu ścieków do wód lub do ziemi, oraz w sprawie substancji szczególnie szkodliwych dla środowiska wodnego</w:t>
            </w:r>
            <w:r w:rsidRPr="00AD2E77">
              <w:rPr>
                <w:rFonts w:ascii="Arial" w:eastAsia="Times New Roman" w:hAnsi="Arial" w:cs="Arial"/>
                <w:sz w:val="20"/>
                <w:szCs w:val="20"/>
                <w:vertAlign w:val="superscript"/>
                <w:lang w:eastAsia="pl-PL"/>
              </w:rPr>
              <w:footnoteReference w:id="17"/>
            </w:r>
            <w:r w:rsidRPr="00AD2E77">
              <w:rPr>
                <w:rFonts w:ascii="Arial" w:eastAsia="Times New Roman" w:hAnsi="Arial" w:cs="Arial"/>
                <w:sz w:val="20"/>
                <w:szCs w:val="20"/>
                <w:lang w:eastAsia="pl-PL"/>
              </w:rPr>
              <w:t>.</w:t>
            </w:r>
          </w:p>
          <w:p w:rsidR="00AD2E77" w:rsidRPr="00AD2E77" w:rsidRDefault="00AD2E77" w:rsidP="00AD2E77">
            <w:pPr>
              <w:numPr>
                <w:ilvl w:val="0"/>
                <w:numId w:val="5"/>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Przedstawienie zastosowanych/planowanych rozwiązań dotyczących gospodarki osadami ściekowymi na oczyszczalniach z uwzględnieniem hierarchii sposobów postępowania z odpadami wskazanymi </w:t>
            </w:r>
            <w:r w:rsidRPr="00AD2E77">
              <w:rPr>
                <w:rFonts w:ascii="Arial" w:eastAsia="Times New Roman" w:hAnsi="Arial" w:cs="Arial"/>
                <w:sz w:val="20"/>
                <w:szCs w:val="20"/>
                <w:lang w:eastAsia="pl-PL"/>
              </w:rPr>
              <w:br/>
              <w:t xml:space="preserve">w aktualnej wersji </w:t>
            </w:r>
            <w:r w:rsidRPr="00AD2E77">
              <w:rPr>
                <w:rFonts w:ascii="Arial" w:eastAsia="Times New Roman" w:hAnsi="Arial" w:cs="Arial"/>
                <w:i/>
                <w:sz w:val="20"/>
                <w:szCs w:val="20"/>
                <w:lang w:eastAsia="pl-PL"/>
              </w:rPr>
              <w:t>Krajowego planu gospodarki odpadami</w:t>
            </w:r>
            <w:r w:rsidRPr="00AD2E77">
              <w:rPr>
                <w:rFonts w:ascii="Arial" w:eastAsia="Times New Roman" w:hAnsi="Arial" w:cs="Arial"/>
                <w:sz w:val="20"/>
                <w:szCs w:val="20"/>
                <w:lang w:eastAsia="pl-PL"/>
              </w:rPr>
              <w:t xml:space="preserve"> lub Krajowego Programu Zapobiegania Powstawaniu Odpadów.</w:t>
            </w:r>
          </w:p>
        </w:tc>
      </w:tr>
    </w:tbl>
    <w:p w:rsidR="00AD2E77" w:rsidRPr="00AD2E77" w:rsidRDefault="00AD2E77" w:rsidP="00AD2E77">
      <w:pPr>
        <w:spacing w:before="120" w:after="120" w:line="240" w:lineRule="auto"/>
        <w:jc w:val="both"/>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6.2 </w:t>
      </w:r>
      <w:r w:rsidRPr="00AD2E77">
        <w:rPr>
          <w:rFonts w:ascii="Arial" w:eastAsia="Times New Roman" w:hAnsi="Arial" w:cs="Arial"/>
          <w:sz w:val="20"/>
          <w:szCs w:val="20"/>
          <w:lang w:eastAsia="en-GB"/>
        </w:rPr>
        <w:tab/>
        <w:t>Stosowanie dyrektywy 2008/98/WE Parlamentu Europejskiego i Rady</w:t>
      </w:r>
      <w:r w:rsidRPr="00AD2E77">
        <w:rPr>
          <w:rFonts w:ascii="Arial" w:eastAsia="Times New Roman" w:hAnsi="Arial" w:cs="Arial"/>
          <w:sz w:val="20"/>
          <w:szCs w:val="20"/>
          <w:vertAlign w:val="superscript"/>
          <w:lang w:eastAsia="en-GB"/>
        </w:rPr>
        <w:footnoteReference w:id="18"/>
      </w:r>
      <w:r w:rsidRPr="00AD2E77">
        <w:rPr>
          <w:rFonts w:ascii="Arial" w:eastAsia="Times New Roman" w:hAnsi="Arial" w:cs="Arial"/>
          <w:sz w:val="20"/>
          <w:szCs w:val="20"/>
          <w:lang w:eastAsia="en-GB"/>
        </w:rPr>
        <w:t xml:space="preserve"> („dyrektywy ramowej w sprawie odpadów”) – projekty w sektorze gospodarowania odpadami</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t>6.2.1. W przypadku niespełnienia odpowiedniego warunku wstępnego zgodnie z art. 19 rozporządzenia (UE) nr 1303/2013, należy przedstawić łącze do zatwierdzonego planu działań.</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 xml:space="preserve">: </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Punkt dotyczy wyłącznie projektów dużych w rozumieniu rozporządzenia (UE) nr 1303/2013.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polu należy wpisać „nie dotyczy” jeżeli warunek wstępny jest spełniony.</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6.2.2. Należy wyjaśnić, w jaki sposób projekt spełnia cele określone w art. 1 dyrektywy ramowej </w:t>
      </w:r>
      <w:r w:rsidRPr="00AD2E77">
        <w:rPr>
          <w:rFonts w:ascii="Arial" w:eastAsia="Times New Roman" w:hAnsi="Arial" w:cs="Arial"/>
          <w:sz w:val="20"/>
          <w:szCs w:val="20"/>
          <w:lang w:eastAsia="en-GB"/>
        </w:rPr>
        <w:br/>
        <w:t>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AD2E77">
              <w:rPr>
                <w:rFonts w:ascii="Arial" w:eastAsia="Times New Roman" w:hAnsi="Arial" w:cs="Arial"/>
                <w:sz w:val="20"/>
                <w:szCs w:val="24"/>
                <w:lang w:eastAsia="pl-PL"/>
              </w:rPr>
              <w:t>wpgo</w:t>
            </w:r>
            <w:proofErr w:type="spellEnd"/>
            <w:r w:rsidRPr="00AD2E77">
              <w:rPr>
                <w:rFonts w:ascii="Arial" w:eastAsia="Times New Roman" w:hAnsi="Arial" w:cs="Arial"/>
                <w:sz w:val="20"/>
                <w:szCs w:val="24"/>
                <w:lang w:eastAsia="pl-PL"/>
              </w:rPr>
              <w:t xml:space="preserve">), w tym stanowiącymi załączniki do </w:t>
            </w:r>
            <w:proofErr w:type="spellStart"/>
            <w:r w:rsidRPr="00AD2E77">
              <w:rPr>
                <w:rFonts w:ascii="Arial" w:eastAsia="Times New Roman" w:hAnsi="Arial" w:cs="Arial"/>
                <w:sz w:val="20"/>
                <w:szCs w:val="24"/>
                <w:lang w:eastAsia="pl-PL"/>
              </w:rPr>
              <w:t>wpgo</w:t>
            </w:r>
            <w:proofErr w:type="spellEnd"/>
            <w:r w:rsidRPr="00AD2E77">
              <w:rPr>
                <w:rFonts w:ascii="Arial" w:eastAsia="Times New Roman" w:hAnsi="Arial" w:cs="Arial"/>
                <w:sz w:val="20"/>
                <w:szCs w:val="24"/>
                <w:lang w:eastAsia="pl-PL"/>
              </w:rPr>
              <w:t xml:space="preserve"> planami inwestycyjnymi w zakresie gospodarki odpadami oraz Krajowym planem gospodarki odpadami.</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szczególności należy opisać, w jaki sposób została uwzględniona hierarchia sposobów postępowania z odpadami od zapobiegania powstawaniu odpadów poprzez przygotowanie do ponownego użytku, recykling, inne procesy odzysku po unieszkodliwianie.</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Należy podać, w jaki sposób projekt przyczynia się do osiągnięcia celów w zakresie przygotowania do ponownego użycia i recyklingu określonych frakcji odpadów komunalnych na 2020r.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w:t>
            </w:r>
            <w:r w:rsidRPr="00AD2E77">
              <w:rPr>
                <w:rFonts w:ascii="Arial" w:eastAsia="Times New Roman" w:hAnsi="Arial" w:cs="Arial"/>
                <w:sz w:val="20"/>
                <w:szCs w:val="24"/>
                <w:lang w:eastAsia="pl-PL"/>
              </w:rPr>
              <w:lastRenderedPageBreak/>
              <w:t xml:space="preserve">przedsięwzięcia. Jeżeli dane takie zamieszczone są w innej części wniosku wystarczy umieścić odniesienie do odpowiedniej sekcji. </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lastRenderedPageBreak/>
        <w:t xml:space="preserve">6.3 </w:t>
      </w:r>
      <w:r w:rsidRPr="00AD2E77">
        <w:rPr>
          <w:rFonts w:ascii="Arial" w:eastAsia="Times New Roman" w:hAnsi="Arial" w:cs="Arial"/>
          <w:sz w:val="20"/>
          <w:szCs w:val="20"/>
          <w:lang w:eastAsia="en-GB"/>
        </w:rPr>
        <w:tab/>
        <w:t>Stosowanie dyrektywy 2010/75/UE Parlamentu Europejskiego i Rady</w:t>
      </w:r>
      <w:r w:rsidRPr="00AD2E77">
        <w:rPr>
          <w:rFonts w:ascii="Arial" w:eastAsia="Times New Roman" w:hAnsi="Arial" w:cs="Arial"/>
          <w:sz w:val="20"/>
          <w:szCs w:val="20"/>
          <w:vertAlign w:val="superscript"/>
          <w:lang w:eastAsia="en-GB"/>
        </w:rPr>
        <w:footnoteReference w:id="19"/>
      </w:r>
      <w:r w:rsidRPr="00AD2E77">
        <w:rPr>
          <w:rFonts w:ascii="Arial" w:eastAsia="Times New Roman" w:hAnsi="Arial" w:cs="Arial"/>
          <w:sz w:val="20"/>
          <w:szCs w:val="20"/>
          <w:lang w:eastAsia="en-GB"/>
        </w:rPr>
        <w:t xml:space="preserve"> („dyrektywy w sprawie emisji przemysłowych”) – projekty wymagające udzielenia pozwolenia zgodnie z przedmiotową dyrektywą</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tabs>
          <w:tab w:val="left" w:pos="850"/>
        </w:tabs>
        <w:spacing w:before="120" w:after="120" w:line="240" w:lineRule="auto"/>
        <w:ind w:left="851" w:hanging="851"/>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b/>
                <w:sz w:val="20"/>
                <w:szCs w:val="24"/>
                <w:lang w:eastAsia="pl-PL"/>
              </w:rPr>
              <w:t>Instrukcja</w:t>
            </w:r>
            <w:r w:rsidRPr="00AD2E77">
              <w:rPr>
                <w:rFonts w:ascii="Arial" w:eastAsia="Times New Roman" w:hAnsi="Arial" w:cs="Arial"/>
                <w:sz w:val="20"/>
                <w:szCs w:val="24"/>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D2E77" w:rsidRPr="00AD2E77" w:rsidRDefault="00AD2E77" w:rsidP="00AD2E77">
      <w:pPr>
        <w:tabs>
          <w:tab w:val="left" w:pos="850"/>
        </w:tabs>
        <w:spacing w:before="120" w:after="120" w:line="240" w:lineRule="auto"/>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6.4</w:t>
      </w:r>
      <w:r w:rsidRPr="00AD2E77">
        <w:rPr>
          <w:rFonts w:ascii="Arial" w:eastAsia="Times New Roman" w:hAnsi="Arial" w:cs="Arial"/>
          <w:sz w:val="20"/>
          <w:szCs w:val="20"/>
          <w:lang w:eastAsia="en-GB"/>
        </w:rPr>
        <w:tab/>
        <w:t xml:space="preserve">Wszelkie inne odpowiednie dyrektywy środowiskowe (należy wyjaśnić poniżej) </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keepNext/>
        <w:spacing w:before="240" w:after="120" w:line="240" w:lineRule="auto"/>
        <w:ind w:left="600" w:hanging="60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7.</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7.1. </w:t>
      </w:r>
      <w:r w:rsidRPr="00AD2E77">
        <w:rPr>
          <w:rFonts w:ascii="Arial" w:eastAsia="Times New Roman"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7.2.</w:t>
      </w:r>
      <w:r w:rsidRPr="00AD2E77">
        <w:rPr>
          <w:rFonts w:ascii="Arial" w:eastAsia="Times New Roman"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AD2E77" w:rsidRPr="00AD2E77" w:rsidTr="00DE1BA2">
        <w:trPr>
          <w:cantSplit/>
          <w:trHeight w:val="821"/>
        </w:trPr>
        <w:tc>
          <w:tcPr>
            <w:tcW w:w="1350"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Należy krótko opisać rozwiązania</w:t>
      </w:r>
      <w:r w:rsidRPr="00AD2E77">
        <w:rPr>
          <w:rFonts w:ascii="Arial" w:eastAsia="Times New Roman" w:hAnsi="Arial" w:cs="Arial"/>
          <w:sz w:val="20"/>
          <w:szCs w:val="20"/>
          <w:lang w:eastAsia="en-GB"/>
        </w:rPr>
        <w:tab/>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after="0" w:line="240" w:lineRule="auto"/>
        <w:rPr>
          <w:rFonts w:ascii="Calibri" w:eastAsia="Times New Roman"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240" w:line="240" w:lineRule="auto"/>
              <w:jc w:val="both"/>
              <w:rPr>
                <w:rFonts w:ascii="Arial" w:eastAsia="Times New Roman" w:hAnsi="Arial" w:cs="Arial"/>
                <w:b/>
                <w:sz w:val="20"/>
                <w:szCs w:val="20"/>
                <w:lang w:eastAsia="en-GB"/>
              </w:rPr>
            </w:pPr>
            <w:r w:rsidRPr="00AD2E77">
              <w:rPr>
                <w:rFonts w:ascii="Arial" w:eastAsia="Times New Roman" w:hAnsi="Arial" w:cs="Arial"/>
                <w:b/>
                <w:sz w:val="20"/>
                <w:szCs w:val="20"/>
                <w:lang w:eastAsia="en-GB"/>
              </w:rPr>
              <w:t>Instrukcja:</w:t>
            </w:r>
          </w:p>
          <w:p w:rsidR="00AD2E77" w:rsidRPr="00AD2E77" w:rsidRDefault="00AD2E77" w:rsidP="00AD2E77">
            <w:pPr>
              <w:spacing w:after="240" w:line="240" w:lineRule="auto"/>
              <w:jc w:val="both"/>
              <w:rPr>
                <w:rFonts w:ascii="Times New Roman" w:eastAsia="Times New Roman" w:hAnsi="Times New Roman" w:cs="Times New Roman"/>
                <w:sz w:val="24"/>
                <w:szCs w:val="20"/>
                <w:lang w:eastAsia="en-GB"/>
              </w:rPr>
            </w:pPr>
            <w:r w:rsidRPr="00AD2E77">
              <w:rPr>
                <w:rFonts w:ascii="Arial" w:eastAsia="Times New Roman" w:hAnsi="Arial" w:cs="Arial"/>
                <w:sz w:val="20"/>
                <w:szCs w:val="20"/>
                <w:lang w:eastAsia="en-GB"/>
              </w:rPr>
              <w:t>W punkcie 7.2 wystarczające jest wskazanie kosztu szacunkowego.</w:t>
            </w:r>
          </w:p>
        </w:tc>
      </w:tr>
    </w:tbl>
    <w:p w:rsidR="00AD2E77" w:rsidRPr="00AD2E77" w:rsidRDefault="00AD2E77" w:rsidP="00AD2E77">
      <w:pPr>
        <w:keepNext/>
        <w:tabs>
          <w:tab w:val="left" w:pos="850"/>
        </w:tabs>
        <w:spacing w:before="360" w:after="120" w:line="240" w:lineRule="auto"/>
        <w:ind w:left="850" w:hanging="850"/>
        <w:jc w:val="both"/>
        <w:outlineLvl w:val="0"/>
        <w:rPr>
          <w:rFonts w:ascii="Arial" w:eastAsia="Times New Roman" w:hAnsi="Arial" w:cs="Arial"/>
          <w:b/>
          <w:smallCaps/>
          <w:sz w:val="20"/>
          <w:szCs w:val="20"/>
          <w:lang w:eastAsia="en-GB"/>
        </w:rPr>
      </w:pPr>
      <w:r w:rsidRPr="00AD2E77">
        <w:rPr>
          <w:rFonts w:ascii="Arial" w:eastAsia="Times New Roman" w:hAnsi="Arial" w:cs="Arial"/>
          <w:b/>
          <w:bCs/>
          <w:smallCaps/>
          <w:sz w:val="20"/>
          <w:szCs w:val="20"/>
          <w:lang w:eastAsia="en-GB"/>
        </w:rPr>
        <w:lastRenderedPageBreak/>
        <w:t>8.</w:t>
      </w:r>
      <w:r w:rsidRPr="00AD2E77">
        <w:rPr>
          <w:rFonts w:ascii="Arial" w:eastAsia="Times New Roman" w:hAnsi="Arial" w:cs="Arial"/>
          <w:smallCaps/>
          <w:sz w:val="20"/>
          <w:szCs w:val="20"/>
          <w:lang w:eastAsia="en-GB"/>
        </w:rPr>
        <w:tab/>
      </w:r>
      <w:r w:rsidRPr="00AD2E77">
        <w:rPr>
          <w:rFonts w:ascii="Arial" w:eastAsia="Times New Roman" w:hAnsi="Arial" w:cs="Arial"/>
          <w:b/>
          <w:bCs/>
          <w:smallCaps/>
          <w:sz w:val="20"/>
          <w:szCs w:val="20"/>
          <w:lang w:eastAsia="en-GB"/>
        </w:rPr>
        <w:t>Przystosowanie się do zmian klimatu i łagodzenie zmian klimatu, a także odporność na klęski żywiołowe</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8.1.</w:t>
      </w:r>
      <w:r w:rsidRPr="00AD2E77">
        <w:rPr>
          <w:rFonts w:ascii="Arial" w:eastAsia="Times New Roman" w:hAnsi="Arial" w:cs="Arial"/>
          <w:sz w:val="20"/>
          <w:szCs w:val="20"/>
          <w:lang w:eastAsia="en-GB"/>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b/>
                <w:sz w:val="20"/>
                <w:szCs w:val="20"/>
                <w:lang w:eastAsia="pl-PL"/>
              </w:rPr>
            </w:pPr>
            <w:r w:rsidRPr="00AD2E77">
              <w:rPr>
                <w:rFonts w:ascii="Arial" w:eastAsia="Times New Roman" w:hAnsi="Arial" w:cs="Arial"/>
                <w:b/>
                <w:sz w:val="20"/>
                <w:szCs w:val="20"/>
                <w:lang w:eastAsia="pl-PL"/>
              </w:rPr>
              <w:t xml:space="preserve">Instrukcja: </w:t>
            </w:r>
          </w:p>
          <w:p w:rsidR="00AD2E77" w:rsidRPr="00AD2E77" w:rsidRDefault="00AD2E77" w:rsidP="00AD2E77">
            <w:pPr>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Należy opisać, w jaki sposób realizacja projektu wpisuje się w cele klimatyczne określone w Strategii Europa 2020, przy czym różne projekty w różnym stopniu i zakresie mogą przyczyniać się do wskazanych poniżej celów. </w:t>
            </w:r>
          </w:p>
          <w:p w:rsidR="00AD2E77" w:rsidRPr="00AD2E77" w:rsidRDefault="00AD2E77" w:rsidP="00AD2E77">
            <w:pPr>
              <w:tabs>
                <w:tab w:val="left" w:pos="6237"/>
              </w:tabs>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Cele unijnej Strategii Europa 2020 w odniesieniu do zmian klimatu i związanego z zagadnieniami klimatycznymi zrównoważonego wykorzystania energii zostały sformułowane w odniesieniu do stanu na rok 2020 w sposób następujący: </w:t>
            </w:r>
          </w:p>
          <w:p w:rsidR="00AD2E77" w:rsidRPr="00AD2E77" w:rsidRDefault="00AD2E77" w:rsidP="00AD2E77">
            <w:pPr>
              <w:numPr>
                <w:ilvl w:val="0"/>
                <w:numId w:val="8"/>
              </w:numPr>
              <w:spacing w:before="40" w:after="0" w:line="240" w:lineRule="exact"/>
              <w:contextualSpacing/>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Ograniczenie emisji gazów cieplarnianych o 20 % w stosunku do poziomu z 1990 r. (lub nawet o 30 %, jeśli warunki będą sprzyjające). </w:t>
            </w:r>
          </w:p>
          <w:p w:rsidR="00AD2E77" w:rsidRPr="00AD2E77" w:rsidRDefault="00AD2E77" w:rsidP="00AD2E77">
            <w:pPr>
              <w:numPr>
                <w:ilvl w:val="0"/>
                <w:numId w:val="8"/>
              </w:numPr>
              <w:spacing w:before="40" w:after="0" w:line="240" w:lineRule="exact"/>
              <w:contextualSpacing/>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Osiągnięcie 20% poziomu energii pochodzącej ze źródeł odnawialnych.</w:t>
            </w:r>
          </w:p>
          <w:p w:rsidR="00AD2E77" w:rsidRPr="00AD2E77" w:rsidRDefault="00AD2E77" w:rsidP="00AD2E77">
            <w:pPr>
              <w:numPr>
                <w:ilvl w:val="0"/>
                <w:numId w:val="8"/>
              </w:numPr>
              <w:spacing w:before="40" w:after="0" w:line="240" w:lineRule="exact"/>
              <w:contextualSpacing/>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Wzrost efektywności energetycznej o 20 %.</w:t>
            </w:r>
          </w:p>
          <w:p w:rsidR="00AD2E77" w:rsidRPr="00AD2E77" w:rsidRDefault="00AD2E77" w:rsidP="00AD2E77">
            <w:pPr>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rsidR="00AD2E77" w:rsidRPr="00AD2E77" w:rsidRDefault="00AD2E77" w:rsidP="00AD2E77">
            <w:pPr>
              <w:spacing w:after="0" w:line="240" w:lineRule="auto"/>
              <w:jc w:val="both"/>
              <w:rPr>
                <w:rFonts w:ascii="Arial" w:eastAsia="Times New Roman" w:hAnsi="Arial" w:cs="Arial"/>
                <w:b/>
                <w:sz w:val="20"/>
                <w:szCs w:val="20"/>
                <w:lang w:eastAsia="pl-PL"/>
              </w:rPr>
            </w:pPr>
          </w:p>
          <w:p w:rsidR="00AD2E77" w:rsidRPr="00AD2E77" w:rsidRDefault="00AD2E77" w:rsidP="00AD2E77">
            <w:pPr>
              <w:spacing w:after="0" w:line="240" w:lineRule="auto"/>
              <w:jc w:val="both"/>
              <w:rPr>
                <w:rFonts w:ascii="Arial" w:eastAsia="Times New Roman" w:hAnsi="Arial" w:cs="Arial"/>
                <w:color w:val="0070C0"/>
                <w:sz w:val="20"/>
                <w:szCs w:val="20"/>
                <w:lang w:eastAsia="pl-PL"/>
              </w:rPr>
            </w:pPr>
            <w:r w:rsidRPr="00AD2E77">
              <w:rPr>
                <w:rFonts w:ascii="Arial" w:eastAsia="Times New Roman" w:hAnsi="Arial" w:cs="Arial"/>
                <w:sz w:val="20"/>
                <w:szCs w:val="20"/>
                <w:lang w:eastAsia="pl-PL"/>
              </w:rPr>
              <w:t>Szczegółowe informacje dotyczące wypełniania punktu 8 znajdują się w</w:t>
            </w:r>
            <w:r w:rsidRPr="00AD2E77">
              <w:rPr>
                <w:rFonts w:ascii="Arial" w:eastAsia="Times New Roman" w:hAnsi="Arial" w:cs="Arial"/>
                <w:b/>
                <w:sz w:val="20"/>
                <w:szCs w:val="20"/>
                <w:lang w:eastAsia="pl-PL"/>
              </w:rPr>
              <w:t xml:space="preserve"> </w:t>
            </w:r>
            <w:r w:rsidRPr="00AD2E77">
              <w:rPr>
                <w:rFonts w:ascii="Arial" w:eastAsia="Times New Roman" w:hAnsi="Arial" w:cs="Arial"/>
                <w:iCs/>
                <w:sz w:val="20"/>
                <w:szCs w:val="20"/>
                <w:lang w:eastAsia="pl-PL"/>
              </w:rPr>
              <w:t>„</w:t>
            </w:r>
            <w:r w:rsidRPr="00AD2E77">
              <w:rPr>
                <w:rFonts w:ascii="Arial" w:eastAsia="Times New Roman" w:hAnsi="Arial" w:cs="Arial"/>
                <w:i/>
                <w:iCs/>
                <w:color w:val="000000"/>
                <w:sz w:val="20"/>
                <w:szCs w:val="20"/>
                <w:lang w:eastAsia="pl-PL"/>
              </w:rPr>
              <w:t>Poradniku przygotowania inwestycji z uwzględnieniem zmian klimatu, ich łagodzenia i przystosowania do tych zmian oraz odporności na klęski żywiołowe</w:t>
            </w:r>
            <w:r w:rsidRPr="00AD2E77">
              <w:rPr>
                <w:rFonts w:ascii="Arial" w:eastAsia="Times New Roman" w:hAnsi="Arial" w:cs="Arial"/>
                <w:color w:val="000000"/>
                <w:sz w:val="20"/>
                <w:szCs w:val="20"/>
                <w:lang w:eastAsia="pl-PL"/>
              </w:rPr>
              <w:t>"</w:t>
            </w:r>
            <w:r w:rsidRPr="00AD2E77">
              <w:rPr>
                <w:rFonts w:ascii="Arial" w:eastAsia="Times New Roman" w:hAnsi="Arial" w:cs="Arial"/>
                <w:iCs/>
                <w:sz w:val="20"/>
                <w:szCs w:val="20"/>
                <w:lang w:eastAsia="pl-PL"/>
              </w:rPr>
              <w:t xml:space="preserve">, który jest dostępny na portalu KIIMADA: </w:t>
            </w:r>
            <w:hyperlink r:id="rId14" w:history="1">
              <w:r w:rsidRPr="00AD2E77">
                <w:rPr>
                  <w:rFonts w:ascii="Arial" w:eastAsia="Times New Roman" w:hAnsi="Arial" w:cs="Arial"/>
                  <w:color w:val="0070C0"/>
                  <w:sz w:val="20"/>
                  <w:szCs w:val="20"/>
                  <w:u w:val="single"/>
                  <w:lang w:eastAsia="pl-PL"/>
                </w:rPr>
                <w:t>http://klimada.mos.gov.pl/adaptacja-do-zmian-klimatu/perspektywa-finansowa-2014-2020/</w:t>
              </w:r>
            </w:hyperlink>
            <w:r w:rsidRPr="00AD2E77">
              <w:rPr>
                <w:rFonts w:ascii="Arial" w:eastAsia="Times New Roman" w:hAnsi="Arial" w:cs="Arial"/>
                <w:color w:val="0070C0"/>
                <w:sz w:val="20"/>
                <w:szCs w:val="20"/>
                <w:lang w:eastAsia="pl-PL"/>
              </w:rPr>
              <w:t xml:space="preserve">. </w:t>
            </w:r>
          </w:p>
        </w:tc>
      </w:tr>
    </w:tbl>
    <w:p w:rsidR="00AD2E77" w:rsidRPr="00AD2E77" w:rsidRDefault="00AD2E77" w:rsidP="00AD2E77">
      <w:pPr>
        <w:keepNext/>
        <w:tabs>
          <w:tab w:val="left" w:pos="850"/>
        </w:tabs>
        <w:spacing w:before="120" w:after="120" w:line="240" w:lineRule="auto"/>
        <w:jc w:val="both"/>
        <w:outlineLvl w:val="2"/>
        <w:rPr>
          <w:rFonts w:ascii="Arial" w:eastAsia="Times New Roman" w:hAnsi="Arial" w:cs="Times New Roman"/>
          <w:i/>
          <w:sz w:val="20"/>
          <w:szCs w:val="24"/>
          <w:lang w:eastAsia="pl-PL"/>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8.2. </w:t>
      </w:r>
      <w:r w:rsidRPr="00AD2E77">
        <w:rPr>
          <w:rFonts w:ascii="Arial" w:eastAsia="Times New Roman" w:hAnsi="Arial" w:cs="Arial"/>
          <w:sz w:val="20"/>
          <w:szCs w:val="20"/>
          <w:lang w:eastAsia="en-GB"/>
        </w:rPr>
        <w:tab/>
        <w:t>Należy wyjaśnić, w jaki sposób uwzględniono zagrożenia związane ze zmianą klimatu, kwestie dotyczące przystosowania się do zmian klimatu i ich łagodzenia oraz odporność na klęski żywiołowe.</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Czy rozważono alternatywne rozwiązania dotyczące mniejszego zużycia węgla (emisji związków węgla, to jest mniejszej emisji gazów cieplarnianych) lub oparte na źródłach odnawialnych?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Czy w trakcie przygotowywania projektu przeprowadzono ocenę zagrożeń wynikających ze zmian klimatycznych lub kontrolę podatności (ocenę ryzyka związanego prognozowanymi zmianami klimat lub analizę podatności)?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 jaki sposób kwestie klimatyczne zostały uwzględnione w analizie i rankingu odpowiednich wariantów? W jaki sposób projekt odnosi się do strategii krajowej lub regionalnej w zakresie przystosowania się do zmian klimatu?</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Czy projekt w połączeniu ze zmianami klimatu będzie miał jakikolwiek pozytywny lub negatywny wpływ na otoczenie? Czy zmiany klimatu wpłynęły na lokalizację projektu?)</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b/>
                <w:sz w:val="20"/>
                <w:szCs w:val="24"/>
                <w:lang w:eastAsia="pl-PL"/>
              </w:rPr>
              <w:t xml:space="preserve">Instrukcja: </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sz w:val="20"/>
                <w:szCs w:val="24"/>
                <w:lang w:eastAsia="pl-PL"/>
              </w:rPr>
              <w:t xml:space="preserve">Należy odnieść się do tych kwestii poruszanych w pytaniach pomocniczych, które odnoszą się do rodzaju i charakteru projektu. </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sz w:val="20"/>
                <w:szCs w:val="24"/>
                <w:lang w:eastAsia="pl-PL"/>
              </w:rPr>
              <w:t>Należy wziąć pod uwagę wszystkie etapy przygotowania przedsięwzięcia, w tym OOŚ.</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Krajową strategią w obszarze adaptacji do zmian klimatu jest Strategiczny plan adaptacji dla sektorów i obszarów wrażliwych na zmiany klimatu do roku 2020 (SPA 2020). Należy opisać zgodność projektu z przedmiotową strategią. </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Jeżeli istnieją również regionalne bądź lokalne plany adaptacji do zmian klimatu (na przykład miejskie plany adaptacji do zmian klimatu), w obszarze zainteresowania których znajdują się przedsięwzięcia wchodzące w skład projektu, konieczne jest opisanie zgodności i związków projektu z celami klimatycznymi tych strategii. W przypadku, gdy odpowiedź na to pytanie została udzielona w pkt 8.1, to w pkt 8.2 należy jedynie dać odpowiedni odnośnik do części 8.1.</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b/>
                <w:sz w:val="20"/>
                <w:szCs w:val="24"/>
                <w:lang w:eastAsia="pl-PL"/>
              </w:rPr>
              <w:t>Konieczna jest odpowiedź na pytanie, czy wszelkie elementy infrastruktury zlokalizowane na obszarach zagrożonych powodzią (oceniane zgodnie z dyrektywą 2007/60/WE), są zaprojektowane w sposób, który uwzględnia to ryzyko.</w:t>
            </w:r>
          </w:p>
          <w:p w:rsidR="00AD2E77" w:rsidRPr="00AD2E77" w:rsidRDefault="00AD2E77" w:rsidP="00AD2E77">
            <w:pPr>
              <w:spacing w:before="40" w:after="0" w:line="240" w:lineRule="exact"/>
              <w:jc w:val="both"/>
              <w:rPr>
                <w:rFonts w:ascii="Calibri" w:eastAsia="Times New Roman" w:hAnsi="Calibri" w:cs="Arial"/>
                <w:sz w:val="18"/>
                <w:szCs w:val="18"/>
                <w:lang w:eastAsia="pl-PL"/>
              </w:rPr>
            </w:pPr>
            <w:r w:rsidRPr="00AD2E77">
              <w:rPr>
                <w:rFonts w:ascii="Arial" w:eastAsia="Times New Roman" w:hAnsi="Arial" w:cs="Arial"/>
                <w:sz w:val="20"/>
                <w:szCs w:val="24"/>
                <w:lang w:eastAsia="pl-PL"/>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8.3. </w:t>
      </w:r>
      <w:r w:rsidRPr="00AD2E77">
        <w:rPr>
          <w:rFonts w:ascii="Arial" w:eastAsia="Times New Roman" w:hAnsi="Arial" w:cs="Arial"/>
          <w:sz w:val="20"/>
          <w:szCs w:val="20"/>
          <w:lang w:eastAsia="en-GB"/>
        </w:rPr>
        <w:tab/>
        <w:t>Należy wyjaśnić, jakie rozwiązania przyjęto w celu zapewnienia odporności na bieżącą zmienność klimatu i przyszłą zmianę klimatu w ramach projektu.</w:t>
      </w:r>
    </w:p>
    <w:p w:rsidR="00AD2E77" w:rsidRPr="00AD2E77" w:rsidRDefault="00AD2E77" w:rsidP="00AD2E77">
      <w:pPr>
        <w:spacing w:before="120" w:after="120" w:line="240" w:lineRule="auto"/>
        <w:ind w:left="705"/>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AD2E77">
        <w:rPr>
          <w:rFonts w:ascii="Arial" w:eastAsia="Times New Roman" w:hAnsi="Arial" w:cs="Arial"/>
          <w:sz w:val="20"/>
          <w:szCs w:val="20"/>
          <w:vertAlign w:val="superscript"/>
          <w:lang w:eastAsia="en-GB"/>
        </w:rPr>
        <w:footnoteReference w:id="20"/>
      </w:r>
      <w:r w:rsidRPr="00AD2E77">
        <w:rPr>
          <w:rFonts w:ascii="Arial" w:eastAsia="Times New Roman" w:hAnsi="Arial" w:cs="Arial"/>
          <w:sz w:val="20"/>
          <w:szCs w:val="20"/>
          <w:lang w:eastAsia="en-GB"/>
        </w:rPr>
        <w:t>, zagrożenie powodziowe, jak również przedłużające się okresy suszy wpływające np. na właściwości gleby).</w:t>
      </w:r>
    </w:p>
    <w:p w:rsidR="00AD2E77" w:rsidRPr="00AD2E77" w:rsidRDefault="00AD2E77" w:rsidP="00AD2E77">
      <w:pPr>
        <w:spacing w:before="120" w:after="120" w:line="240" w:lineRule="auto"/>
        <w:ind w:left="705"/>
        <w:jc w:val="both"/>
        <w:rPr>
          <w:rFonts w:ascii="Arial" w:eastAsia="Times New Roman" w:hAnsi="Arial" w:cs="Arial"/>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705"/>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b/>
                <w:sz w:val="20"/>
                <w:szCs w:val="24"/>
                <w:lang w:eastAsia="pl-PL"/>
              </w:rPr>
              <w:t xml:space="preserve">Instrukcja: </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sz w:val="20"/>
                <w:szCs w:val="24"/>
                <w:lang w:eastAsia="pl-PL"/>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AD2E77" w:rsidRPr="00AD2E77" w:rsidRDefault="00AD2E77" w:rsidP="00AD2E77">
            <w:pPr>
              <w:tabs>
                <w:tab w:val="left" w:pos="5298"/>
              </w:tabs>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AD2E77" w:rsidRPr="00AD2E77" w:rsidRDefault="00AD2E77" w:rsidP="00AD2E77">
            <w:pPr>
              <w:spacing w:before="40" w:after="0" w:line="240" w:lineRule="exact"/>
              <w:jc w:val="both"/>
              <w:rPr>
                <w:rFonts w:ascii="Calibri" w:eastAsia="Times New Roman" w:hAnsi="Calibri" w:cs="Arial"/>
                <w:sz w:val="18"/>
                <w:szCs w:val="18"/>
                <w:lang w:eastAsia="pl-PL"/>
              </w:rPr>
            </w:pPr>
            <w:r w:rsidRPr="00AD2E77">
              <w:rPr>
                <w:rFonts w:ascii="Arial" w:eastAsia="Times New Roman" w:hAnsi="Arial" w:cs="Arial"/>
                <w:sz w:val="20"/>
                <w:szCs w:val="24"/>
                <w:lang w:eastAsia="pl-PL"/>
              </w:rPr>
              <w:lastRenderedPageBreak/>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(częściowo) przedstawione w punkcie 8.2 należy zawrzeć odpowiednie odniesienie do tego punktu.</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b/>
          <w:sz w:val="20"/>
          <w:szCs w:val="20"/>
          <w:lang w:eastAsia="en-GB"/>
        </w:rPr>
      </w:pPr>
      <w:r w:rsidRPr="00AD2E77">
        <w:rPr>
          <w:rFonts w:ascii="Arial" w:eastAsia="Times New Roman" w:hAnsi="Arial" w:cs="Arial"/>
          <w:b/>
          <w:sz w:val="20"/>
          <w:szCs w:val="20"/>
          <w:lang w:eastAsia="en-GB"/>
        </w:rPr>
        <w:t>9</w:t>
      </w:r>
      <w:r w:rsidRPr="00AD2E77">
        <w:rPr>
          <w:rFonts w:ascii="Arial" w:eastAsia="Times New Roman" w:hAnsi="Arial" w:cs="Arial"/>
          <w:b/>
          <w:sz w:val="20"/>
          <w:szCs w:val="20"/>
          <w:lang w:eastAsia="en-GB"/>
        </w:rPr>
        <w:tab/>
        <w:t>Obowiązek przekazywania informacji na potrzeby rejestrów prowadzonych w Generalnej Dyrekcji Ochrony Środowiska.</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9.1 Czy beneficjent projektu jest podmiotem zobowiązanym do przekazywania informacji na potrzeby niżej wymienionych rejestrów prowadzonych w Generalnej Dyrekcji Ochrony Środowiska: </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Cambria Math" w:eastAsia="Times New Roman" w:hAnsi="Cambria Math" w:cs="Cambria Math"/>
          <w:sz w:val="20"/>
          <w:szCs w:val="20"/>
          <w:lang w:eastAsia="en-GB"/>
        </w:rPr>
        <w:t>̶</w:t>
      </w:r>
      <w:r w:rsidRPr="00AD2E77">
        <w:rPr>
          <w:rFonts w:ascii="Arial" w:eastAsia="Times New Roman" w:hAnsi="Arial" w:cs="Arial"/>
          <w:sz w:val="20"/>
          <w:szCs w:val="20"/>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rsidRPr="00AD2E77">
        <w:rPr>
          <w:rFonts w:ascii="Arial" w:eastAsia="Times New Roman" w:hAnsi="Arial" w:cs="Arial"/>
          <w:sz w:val="20"/>
          <w:szCs w:val="20"/>
          <w:lang w:eastAsia="en-GB"/>
        </w:rPr>
        <w:t>późn</w:t>
      </w:r>
      <w:proofErr w:type="spellEnd"/>
      <w:r w:rsidRPr="00AD2E77">
        <w:rPr>
          <w:rFonts w:ascii="Arial" w:eastAsia="Times New Roman"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Cambria Math" w:eastAsia="Times New Roman" w:hAnsi="Cambria Math" w:cs="Cambria Math"/>
          <w:sz w:val="20"/>
          <w:szCs w:val="20"/>
          <w:lang w:eastAsia="en-GB"/>
        </w:rPr>
        <w:t>̶</w:t>
      </w:r>
      <w:r w:rsidRPr="00AD2E77">
        <w:rPr>
          <w:rFonts w:ascii="Arial" w:eastAsia="Times New Roman" w:hAnsi="Arial" w:cs="Arial"/>
          <w:sz w:val="20"/>
          <w:szCs w:val="20"/>
          <w:lang w:eastAsia="en-GB"/>
        </w:rPr>
        <w:tab/>
        <w:t xml:space="preserve">centralnego rejestru form ochrony przyrody, o którym mowa w art. 113 ustawy z dnia 16 kwietnia 2004 r. o ochronie przyrody (Dz. U. z 2013, poz. 627 z </w:t>
      </w:r>
      <w:proofErr w:type="spellStart"/>
      <w:r w:rsidRPr="00AD2E77">
        <w:rPr>
          <w:rFonts w:ascii="Arial" w:eastAsia="Times New Roman" w:hAnsi="Arial" w:cs="Arial"/>
          <w:sz w:val="20"/>
          <w:szCs w:val="20"/>
          <w:lang w:eastAsia="en-GB"/>
        </w:rPr>
        <w:t>późn</w:t>
      </w:r>
      <w:proofErr w:type="spellEnd"/>
      <w:r w:rsidRPr="00AD2E77">
        <w:rPr>
          <w:rFonts w:ascii="Arial" w:eastAsia="Times New Roman"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9.2 Jeżeli w pkt 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before="120" w:after="120" w:line="240" w:lineRule="auto"/>
              <w:jc w:val="both"/>
              <w:rPr>
                <w:rFonts w:ascii="Arial" w:eastAsia="Times New Roman" w:hAnsi="Arial" w:cs="Arial"/>
                <w:b/>
                <w:sz w:val="20"/>
                <w:szCs w:val="20"/>
                <w:lang w:eastAsia="en-GB"/>
              </w:rPr>
            </w:pPr>
            <w:r w:rsidRPr="00AD2E77">
              <w:rPr>
                <w:rFonts w:ascii="Arial" w:eastAsia="Times New Roman" w:hAnsi="Arial" w:cs="Arial"/>
                <w:b/>
                <w:sz w:val="20"/>
                <w:szCs w:val="20"/>
                <w:lang w:eastAsia="en-GB"/>
              </w:rPr>
              <w:t xml:space="preserve">Instrukcja: </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rsidR="00AD2E77" w:rsidRPr="00AD2E77" w:rsidRDefault="00AD2E77" w:rsidP="00AD2E77">
            <w:pPr>
              <w:spacing w:before="120" w:after="120" w:line="240" w:lineRule="auto"/>
              <w:jc w:val="both"/>
              <w:rPr>
                <w:rFonts w:ascii="Arial" w:eastAsia="Times New Roman" w:hAnsi="Arial" w:cs="Arial"/>
                <w:iCs/>
                <w:sz w:val="20"/>
                <w:szCs w:val="20"/>
                <w:lang w:eastAsia="en-GB"/>
              </w:rPr>
            </w:pPr>
            <w:r w:rsidRPr="00AD2E77">
              <w:rPr>
                <w:rFonts w:ascii="Arial" w:eastAsia="Times New Roman" w:hAnsi="Arial" w:cs="Arial"/>
                <w:sz w:val="20"/>
                <w:szCs w:val="20"/>
                <w:lang w:eastAsia="en-GB"/>
              </w:rPr>
              <w:t xml:space="preserve">Szczegółowe wyjaśnienia w tym zakresie zawierają </w:t>
            </w:r>
            <w:r w:rsidRPr="00AD2E77">
              <w:rPr>
                <w:rFonts w:ascii="Arial" w:eastAsia="Times New Roman" w:hAnsi="Arial" w:cs="Arial"/>
                <w:i/>
                <w:sz w:val="20"/>
                <w:szCs w:val="20"/>
                <w:lang w:eastAsia="en-GB"/>
              </w:rPr>
              <w:t xml:space="preserve">Wytyczne w zakresie dokumentowania postępowania w sprawie oceny oddziaływania na środowisko dla przedsięwzięć współfinansowanych </w:t>
            </w:r>
            <w:r w:rsidRPr="00AD2E77">
              <w:rPr>
                <w:rFonts w:ascii="Arial" w:eastAsia="Times New Roman" w:hAnsi="Arial" w:cs="Arial"/>
                <w:i/>
                <w:sz w:val="20"/>
                <w:szCs w:val="20"/>
                <w:lang w:eastAsia="en-GB"/>
              </w:rPr>
              <w:lastRenderedPageBreak/>
              <w:t xml:space="preserve">z krajowych lub regionalnych programów operacyjnych wydane przez Ministra Infrastruktury i Rozwoju. </w:t>
            </w:r>
          </w:p>
        </w:tc>
      </w:tr>
    </w:tbl>
    <w:p w:rsidR="00AD2E77" w:rsidRPr="00AD2E77" w:rsidRDefault="00AD2E77" w:rsidP="00AD2E77">
      <w:pPr>
        <w:spacing w:after="0" w:line="240" w:lineRule="auto"/>
        <w:rPr>
          <w:rFonts w:ascii="Arial" w:eastAsia="Times New Roman" w:hAnsi="Arial" w:cs="Times New Roman"/>
          <w:i/>
          <w:sz w:val="20"/>
          <w:szCs w:val="24"/>
          <w:lang w:eastAsia="pl-PL"/>
        </w:rPr>
      </w:pPr>
    </w:p>
    <w:p w:rsidR="00AD2E77" w:rsidRPr="00AD2E77" w:rsidRDefault="00AD2E77" w:rsidP="00AD2E77">
      <w:pPr>
        <w:spacing w:after="0" w:line="240" w:lineRule="auto"/>
        <w:rPr>
          <w:rFonts w:ascii="Arial" w:eastAsia="Times New Roman" w:hAnsi="Arial" w:cs="Times New Roman"/>
          <w:i/>
          <w:sz w:val="20"/>
          <w:szCs w:val="24"/>
          <w:lang w:eastAsia="pl-PL"/>
        </w:rPr>
      </w:pPr>
    </w:p>
    <w:p w:rsidR="00AD2E77" w:rsidRPr="00AD2E77" w:rsidRDefault="00AD2E77" w:rsidP="00AD2E77">
      <w:pPr>
        <w:spacing w:after="0" w:line="240" w:lineRule="auto"/>
        <w:rPr>
          <w:rFonts w:ascii="Arial" w:eastAsia="Times New Roman" w:hAnsi="Arial" w:cs="Times New Roman"/>
          <w:i/>
          <w:sz w:val="20"/>
          <w:szCs w:val="24"/>
          <w:lang w:eastAsia="pl-PL"/>
        </w:rPr>
      </w:pPr>
      <w:r w:rsidRPr="00AD2E77">
        <w:rPr>
          <w:rFonts w:ascii="Arial" w:eastAsia="Times New Roman" w:hAnsi="Arial" w:cs="Times New Roman"/>
          <w:i/>
          <w:sz w:val="20"/>
          <w:szCs w:val="24"/>
          <w:lang w:eastAsia="pl-PL"/>
        </w:rPr>
        <w:t>……………………………</w:t>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t>…………………………………………………..</w:t>
      </w:r>
    </w:p>
    <w:p w:rsidR="00AD2E77" w:rsidRPr="00AD2E77" w:rsidRDefault="00AD2E77" w:rsidP="00AD2E77">
      <w:pPr>
        <w:spacing w:after="0" w:line="240" w:lineRule="auto"/>
        <w:rPr>
          <w:rFonts w:ascii="Arial" w:eastAsia="Times New Roman" w:hAnsi="Arial" w:cs="Times New Roman"/>
          <w:i/>
          <w:sz w:val="20"/>
          <w:szCs w:val="24"/>
          <w:lang w:eastAsia="pl-PL"/>
        </w:rPr>
      </w:pPr>
      <w:r w:rsidRPr="00AD2E77">
        <w:rPr>
          <w:rFonts w:ascii="Arial" w:eastAsia="Times New Roman" w:hAnsi="Arial" w:cs="Times New Roman"/>
          <w:i/>
          <w:sz w:val="20"/>
          <w:szCs w:val="24"/>
          <w:lang w:eastAsia="pl-PL"/>
        </w:rPr>
        <w:t>(Miejscowość, data)</w:t>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ab/>
        <w:t>(Podpis i pieczątka osoby upoważnionej</w:t>
      </w:r>
    </w:p>
    <w:p w:rsidR="00AD2E77" w:rsidRPr="00AD2E77" w:rsidRDefault="00AD2E77" w:rsidP="00AD2E77">
      <w:pPr>
        <w:spacing w:after="0" w:line="240" w:lineRule="auto"/>
        <w:jc w:val="right"/>
        <w:rPr>
          <w:rFonts w:ascii="Arial" w:eastAsia="Times New Roman" w:hAnsi="Arial" w:cs="Times New Roman"/>
          <w:i/>
          <w:sz w:val="20"/>
          <w:szCs w:val="24"/>
          <w:lang w:eastAsia="pl-PL"/>
        </w:rPr>
      </w:pPr>
      <w:r w:rsidRPr="00AD2E77">
        <w:rPr>
          <w:rFonts w:ascii="Arial" w:eastAsia="Times New Roman" w:hAnsi="Arial" w:cs="Times New Roman"/>
          <w:i/>
          <w:sz w:val="20"/>
          <w:szCs w:val="24"/>
          <w:lang w:eastAsia="pl-PL"/>
        </w:rPr>
        <w:t>do reprezentowania wnioskodawcy)</w:t>
      </w:r>
    </w:p>
    <w:p w:rsidR="00AD2E77" w:rsidRPr="00AD2E77" w:rsidRDefault="00AD2E77" w:rsidP="00AD2E77">
      <w:pPr>
        <w:spacing w:after="0" w:line="240" w:lineRule="auto"/>
        <w:jc w:val="right"/>
        <w:rPr>
          <w:rFonts w:ascii="Arial" w:eastAsia="Times New Roman" w:hAnsi="Arial" w:cs="Times New Roman"/>
          <w:sz w:val="20"/>
          <w:szCs w:val="24"/>
          <w:lang w:eastAsia="pl-PL"/>
        </w:rPr>
      </w:pPr>
    </w:p>
    <w:p w:rsidR="006F6F59" w:rsidRDefault="006F6F59"/>
    <w:sectPr w:rsidR="006F6F59">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104" w:rsidRDefault="00407104" w:rsidP="00AD2E77">
      <w:pPr>
        <w:spacing w:after="0" w:line="240" w:lineRule="auto"/>
      </w:pPr>
      <w:r>
        <w:separator/>
      </w:r>
    </w:p>
  </w:endnote>
  <w:endnote w:type="continuationSeparator" w:id="0">
    <w:p w:rsidR="00407104" w:rsidRDefault="00407104" w:rsidP="00AD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104" w:rsidRDefault="00407104" w:rsidP="00AD2E77">
      <w:pPr>
        <w:spacing w:after="0" w:line="240" w:lineRule="auto"/>
      </w:pPr>
      <w:r>
        <w:separator/>
      </w:r>
    </w:p>
  </w:footnote>
  <w:footnote w:type="continuationSeparator" w:id="0">
    <w:p w:rsidR="00407104" w:rsidRDefault="00407104" w:rsidP="00AD2E77">
      <w:pPr>
        <w:spacing w:after="0" w:line="240" w:lineRule="auto"/>
      </w:pPr>
      <w:r>
        <w:continuationSeparator/>
      </w:r>
    </w:p>
  </w:footnote>
  <w:footnote w:id="1">
    <w:p w:rsidR="00AD2E77" w:rsidRDefault="00AD2E77" w:rsidP="00AD2E77">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Pr>
          <w:rFonts w:ascii="Arial" w:hAnsi="Arial" w:cs="Arial"/>
          <w:sz w:val="18"/>
          <w:szCs w:val="18"/>
          <w:lang w:val="x-none" w:eastAsia="en-GB"/>
        </w:rPr>
        <w:t>U</w:t>
      </w:r>
      <w:r>
        <w:rPr>
          <w:rFonts w:ascii="Arial" w:hAnsi="Arial" w:cs="Arial"/>
          <w:sz w:val="18"/>
          <w:szCs w:val="18"/>
          <w:lang w:eastAsia="en-GB"/>
        </w:rPr>
        <w:t>rz. UE</w:t>
      </w:r>
      <w:r w:rsidRPr="006A3DDB">
        <w:rPr>
          <w:rFonts w:ascii="Arial" w:hAnsi="Arial" w:cs="Arial"/>
          <w:sz w:val="18"/>
          <w:szCs w:val="18"/>
          <w:lang w:val="x-none" w:eastAsia="en-GB"/>
        </w:rPr>
        <w:t xml:space="preserve"> </w:t>
      </w:r>
      <w:r>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2">
    <w:p w:rsidR="00AD2E77" w:rsidRDefault="00AD2E77" w:rsidP="00AD2E77">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3">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5">
    <w:p w:rsidR="00AD2E77" w:rsidRPr="007D1D1D" w:rsidRDefault="00AD2E77" w:rsidP="00AD2E77">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6">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7">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8">
    <w:p w:rsidR="00AD2E77" w:rsidRDefault="00AD2E77" w:rsidP="00AD2E77">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9">
    <w:p w:rsidR="00AD2E77" w:rsidRDefault="00AD2E77" w:rsidP="00AD2E77">
      <w:pPr>
        <w:pStyle w:val="Tekstprzypisudolnego"/>
        <w:jc w:val="both"/>
      </w:pPr>
      <w:r w:rsidRPr="00E81E1E">
        <w:rPr>
          <w:rFonts w:ascii="Arial" w:hAnsi="Arial" w:cs="Arial"/>
          <w:sz w:val="18"/>
          <w:szCs w:val="18"/>
          <w:lang w:val="x-none" w:eastAsia="en-GB"/>
        </w:rPr>
        <w:footnoteRef/>
      </w:r>
      <w:r>
        <w:rPr>
          <w:rFonts w:ascii="Arial" w:hAnsi="Arial" w:cs="Arial"/>
          <w:sz w:val="18"/>
          <w:szCs w:val="18"/>
          <w:lang w:eastAsia="en-GB"/>
        </w:rPr>
        <w:t xml:space="preserve"> </w:t>
      </w:r>
      <w:r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0">
    <w:p w:rsidR="00AD2E77" w:rsidRPr="001144BF" w:rsidRDefault="00AD2E77" w:rsidP="00AD2E77">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Pr="00E65B3E">
        <w:rPr>
          <w:rFonts w:ascii="Arial" w:hAnsi="Arial" w:cs="Arial"/>
          <w:sz w:val="18"/>
          <w:szCs w:val="18"/>
        </w:rPr>
        <w:t xml:space="preserve">Dotyczy to również projektów obejmujących przedsięwzięcia ujęte wg prawa krajowego jako przedsięwzięcia mogące </w:t>
      </w:r>
      <w:r>
        <w:rPr>
          <w:rFonts w:ascii="Arial" w:hAnsi="Arial" w:cs="Arial"/>
          <w:sz w:val="18"/>
          <w:szCs w:val="18"/>
        </w:rPr>
        <w:t>potencjalnie</w:t>
      </w:r>
      <w:r w:rsidRPr="00E65B3E">
        <w:rPr>
          <w:rFonts w:ascii="Arial" w:hAnsi="Arial" w:cs="Arial"/>
          <w:sz w:val="18"/>
          <w:szCs w:val="18"/>
        </w:rPr>
        <w:t xml:space="preserve"> znacząco oddziaływać na środowisko</w:t>
      </w:r>
      <w:r>
        <w:rPr>
          <w:rFonts w:ascii="Arial" w:hAnsi="Arial" w:cs="Arial"/>
          <w:sz w:val="18"/>
          <w:szCs w:val="18"/>
        </w:rPr>
        <w:t>.</w:t>
      </w:r>
    </w:p>
  </w:footnote>
  <w:footnote w:id="11">
    <w:p w:rsidR="00AD2E77" w:rsidRDefault="00AD2E77" w:rsidP="00AD2E77">
      <w:pPr>
        <w:pStyle w:val="Tekstprzypisudolnego"/>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2">
    <w:p w:rsidR="00AD2E77" w:rsidRDefault="00AD2E77" w:rsidP="00AD2E77">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3">
    <w:p w:rsidR="00AD2E77" w:rsidRDefault="00AD2E77" w:rsidP="00AD2E77">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14">
    <w:p w:rsidR="00AD2E77" w:rsidRDefault="00AD2E77" w:rsidP="00AD2E77">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1991r. dotyczącej oczyszczania ścieków komunalnych w tym zakresie, tj. Krajowego Programu Oczyszczania Ścieków Komunalnych.</w:t>
      </w:r>
    </w:p>
  </w:footnote>
  <w:footnote w:id="15">
    <w:p w:rsidR="00AD2E77" w:rsidRDefault="00AD2E77" w:rsidP="00AD2E77">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Pr>
          <w:rFonts w:ascii="Arial" w:hAnsi="Arial" w:cs="Arial"/>
          <w:sz w:val="18"/>
          <w:szCs w:val="18"/>
          <w:lang w:val="pl"/>
        </w:rPr>
        <w:t xml:space="preserve">czyszczania ścieków komunalnych </w:t>
      </w:r>
    </w:p>
    <w:p w:rsidR="00AD2E77" w:rsidRPr="009825CD" w:rsidRDefault="00AD2E77" w:rsidP="00AD2E77">
      <w:pPr>
        <w:pStyle w:val="Tekstprzypisudolnego"/>
        <w:rPr>
          <w:rFonts w:ascii="Arial" w:hAnsi="Arial" w:cs="Arial"/>
          <w:sz w:val="18"/>
          <w:szCs w:val="18"/>
          <w:lang w:val="pl"/>
        </w:rPr>
      </w:pPr>
      <w:r w:rsidRPr="00074AA5">
        <w:rPr>
          <w:rFonts w:ascii="Arial" w:hAnsi="Arial" w:cs="Arial"/>
          <w:sz w:val="18"/>
          <w:szCs w:val="18"/>
          <w:lang w:val="pl"/>
        </w:rPr>
        <w:t>(Dz.</w:t>
      </w:r>
      <w:r>
        <w:rPr>
          <w:rFonts w:ascii="Arial" w:hAnsi="Arial" w:cs="Arial"/>
          <w:sz w:val="18"/>
          <w:szCs w:val="18"/>
          <w:lang w:val="pl"/>
        </w:rPr>
        <w:t xml:space="preserve"> </w:t>
      </w:r>
      <w:r w:rsidRPr="00074AA5">
        <w:rPr>
          <w:rFonts w:ascii="Arial" w:hAnsi="Arial" w:cs="Arial"/>
          <w:sz w:val="18"/>
          <w:szCs w:val="18"/>
          <w:lang w:val="pl"/>
        </w:rPr>
        <w:t xml:space="preserve">U. </w:t>
      </w:r>
      <w:r>
        <w:rPr>
          <w:rFonts w:ascii="Arial" w:hAnsi="Arial" w:cs="Arial"/>
          <w:sz w:val="18"/>
          <w:szCs w:val="18"/>
          <w:lang w:val="pl"/>
        </w:rPr>
        <w:t xml:space="preserve">UE </w:t>
      </w:r>
      <w:r w:rsidRPr="00074AA5">
        <w:rPr>
          <w:rFonts w:ascii="Arial" w:hAnsi="Arial" w:cs="Arial"/>
          <w:sz w:val="18"/>
          <w:szCs w:val="18"/>
          <w:lang w:val="pl"/>
        </w:rPr>
        <w:t>L 135 z 30.5.1991, s. 40).</w:t>
      </w:r>
    </w:p>
  </w:footnote>
  <w:footnote w:id="16">
    <w:p w:rsidR="00AD2E77" w:rsidRDefault="00AD2E77" w:rsidP="00AD2E77">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w:t>
      </w:r>
      <w:r w:rsidRPr="00783BA0">
        <w:rPr>
          <w:rFonts w:ascii="Arial" w:hAnsi="Arial" w:cs="Arial"/>
          <w:sz w:val="18"/>
          <w:szCs w:val="18"/>
        </w:rPr>
        <w:t>późn. zm.).</w:t>
      </w:r>
    </w:p>
  </w:footnote>
  <w:footnote w:id="17">
    <w:p w:rsidR="00AD2E77" w:rsidRDefault="00AD2E77" w:rsidP="00AD2E77">
      <w:pPr>
        <w:pStyle w:val="Tekstprzypisudolnego"/>
      </w:pPr>
      <w:r w:rsidRPr="00783BA0">
        <w:rPr>
          <w:rStyle w:val="Odwoanieprzypisudolnego"/>
          <w:rFonts w:ascii="Arial" w:hAnsi="Arial" w:cs="Arial"/>
          <w:sz w:val="18"/>
          <w:szCs w:val="18"/>
        </w:rPr>
        <w:footnoteRef/>
      </w:r>
      <w:r>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Pr>
          <w:rFonts w:ascii="Arial" w:hAnsi="Arial" w:cs="Arial"/>
          <w:sz w:val="18"/>
          <w:szCs w:val="18"/>
        </w:rPr>
        <w:t xml:space="preserve"> </w:t>
      </w:r>
      <w:r w:rsidRPr="00783BA0">
        <w:rPr>
          <w:rFonts w:ascii="Arial" w:hAnsi="Arial" w:cs="Arial"/>
          <w:sz w:val="18"/>
          <w:szCs w:val="18"/>
        </w:rPr>
        <w:t>U. 2014 poz. 1800).</w:t>
      </w:r>
    </w:p>
  </w:footnote>
  <w:footnote w:id="18">
    <w:p w:rsidR="00AD2E77" w:rsidRDefault="00AD2E77" w:rsidP="00AD2E77">
      <w:pPr>
        <w:pStyle w:val="Tekstprzypisudolnego"/>
        <w:jc w:val="both"/>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19">
    <w:p w:rsidR="00AD2E77" w:rsidRDefault="00AD2E77" w:rsidP="00AD2E77">
      <w:pPr>
        <w:pStyle w:val="Tekstprzypisudolnego"/>
      </w:pPr>
      <w:r w:rsidRPr="004D76C4">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0">
    <w:p w:rsidR="00AD2E77" w:rsidRDefault="00AD2E77" w:rsidP="00AD2E77">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w:t>
      </w:r>
      <w:r w:rsidRPr="00FC6C8F">
        <w:rPr>
          <w:rFonts w:ascii="Arial" w:hAnsi="Arial" w:cs="Arial"/>
          <w:sz w:val="18"/>
          <w:szCs w:val="18"/>
        </w:rPr>
        <w:t>drainage”. W niniejszej instrukcji zaadoptowano interpretację, że skrót ten oznacza skutki złego drenażu wód opadowych, który nie zapobiega podtopieniom i zalaniom oraz skażeniu środowiska (porównaj: „</w:t>
      </w:r>
      <w:r w:rsidRPr="00FC6C8F">
        <w:rPr>
          <w:rFonts w:ascii="Arial" w:hAnsi="Arial" w:cs="Arial"/>
          <w:i/>
          <w:sz w:val="18"/>
          <w:szCs w:val="18"/>
        </w:rPr>
        <w:t>Commencement of the Flood and Water Management Act 2010, Schedule 3 for Sustainable Drainage</w:t>
      </w:r>
      <w:r w:rsidRPr="00FC6C8F">
        <w:rPr>
          <w:rFonts w:ascii="Arial" w:hAnsi="Arial" w:cs="Arial"/>
          <w:sz w:val="18"/>
          <w:szCs w:val="18"/>
        </w:rPr>
        <w:t>”,</w:t>
      </w:r>
    </w:p>
    <w:p w:rsidR="00AD2E77" w:rsidRDefault="00AD2E77" w:rsidP="00AD2E77">
      <w:pPr>
        <w:pStyle w:val="Tekstprzypisudolnego"/>
        <w:jc w:val="both"/>
      </w:pPr>
      <w:r w:rsidRPr="00FC6C8F">
        <w:rPr>
          <w:rFonts w:ascii="Arial" w:hAnsi="Arial" w:cs="Arial"/>
          <w:sz w:val="18"/>
          <w:szCs w:val="18"/>
        </w:rPr>
        <w:t xml:space="preserve"> </w:t>
      </w:r>
      <w:hyperlink r:id="rId2"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3"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41" w:type="dxa"/>
      <w:tblInd w:w="107" w:type="dxa"/>
      <w:tblCellMar>
        <w:left w:w="0" w:type="dxa"/>
        <w:right w:w="0" w:type="dxa"/>
      </w:tblCellMar>
      <w:tblLook w:val="04A0" w:firstRow="1" w:lastRow="0" w:firstColumn="1" w:lastColumn="0" w:noHBand="0" w:noVBand="1"/>
    </w:tblPr>
    <w:tblGrid>
      <w:gridCol w:w="2000"/>
      <w:gridCol w:w="2921"/>
      <w:gridCol w:w="2232"/>
      <w:gridCol w:w="2688"/>
    </w:tblGrid>
    <w:tr w:rsidR="00AD2E77" w:rsidRPr="00B82319" w:rsidTr="00DE1BA2">
      <w:tc>
        <w:tcPr>
          <w:tcW w:w="1959" w:type="dxa"/>
          <w:tcMar>
            <w:left w:w="0" w:type="dxa"/>
            <w:right w:w="0" w:type="dxa"/>
          </w:tcMar>
        </w:tcPr>
        <w:p w:rsidR="00AD2E77" w:rsidRPr="00B82319" w:rsidRDefault="00AD2E77" w:rsidP="00AD2E77">
          <w:pPr>
            <w:rPr>
              <w:rFonts w:ascii="Calibri" w:hAnsi="Calibri"/>
              <w:noProof/>
            </w:rPr>
          </w:pPr>
          <w:r w:rsidRPr="00B82319">
            <w:rPr>
              <w:rFonts w:ascii="Calibri" w:hAnsi="Calibri"/>
              <w:noProof/>
            </w:rPr>
            <w:drawing>
              <wp:inline distT="0" distB="0" distL="0" distR="0" wp14:anchorId="7996ED1D" wp14:editId="2E136A2C">
                <wp:extent cx="1035050" cy="440055"/>
                <wp:effectExtent l="19050" t="0" r="0" b="0"/>
                <wp:docPr id="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srcRect/>
                        <a:stretch>
                          <a:fillRect/>
                        </a:stretch>
                      </pic:blipFill>
                      <pic:spPr bwMode="auto">
                        <a:xfrm>
                          <a:off x="0" y="0"/>
                          <a:ext cx="1035050" cy="440055"/>
                        </a:xfrm>
                        <a:prstGeom prst="rect">
                          <a:avLst/>
                        </a:prstGeom>
                        <a:noFill/>
                        <a:ln w="9525">
                          <a:noFill/>
                          <a:miter lim="800000"/>
                          <a:headEnd/>
                          <a:tailEnd/>
                        </a:ln>
                      </pic:spPr>
                    </pic:pic>
                  </a:graphicData>
                </a:graphic>
              </wp:inline>
            </w:drawing>
          </w:r>
        </w:p>
      </w:tc>
      <w:tc>
        <w:tcPr>
          <w:tcW w:w="2861" w:type="dxa"/>
          <w:tcMar>
            <w:left w:w="0" w:type="dxa"/>
            <w:right w:w="0" w:type="dxa"/>
          </w:tcMar>
        </w:tcPr>
        <w:p w:rsidR="00AD2E77" w:rsidRPr="00B82319" w:rsidRDefault="00AD2E77" w:rsidP="00AD2E77">
          <w:pPr>
            <w:ind w:left="48"/>
            <w:jc w:val="center"/>
            <w:rPr>
              <w:rFonts w:ascii="Calibri" w:hAnsi="Calibri"/>
              <w:noProof/>
            </w:rPr>
          </w:pPr>
          <w:r w:rsidRPr="00B82319">
            <w:rPr>
              <w:rFonts w:ascii="Calibri" w:hAnsi="Calibri"/>
              <w:noProof/>
            </w:rPr>
            <w:drawing>
              <wp:inline distT="0" distB="0" distL="0" distR="0" wp14:anchorId="39DCDE8B" wp14:editId="69525C0D">
                <wp:extent cx="1414780" cy="440055"/>
                <wp:effectExtent l="19050" t="0" r="0" b="0"/>
                <wp:docPr id="5"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srcRect/>
                        <a:stretch>
                          <a:fillRect/>
                        </a:stretch>
                      </pic:blipFill>
                      <pic:spPr bwMode="auto">
                        <a:xfrm>
                          <a:off x="0" y="0"/>
                          <a:ext cx="1414780" cy="440055"/>
                        </a:xfrm>
                        <a:prstGeom prst="rect">
                          <a:avLst/>
                        </a:prstGeom>
                        <a:noFill/>
                        <a:ln w="9525">
                          <a:noFill/>
                          <a:miter lim="800000"/>
                          <a:headEnd/>
                          <a:tailEnd/>
                        </a:ln>
                      </pic:spPr>
                    </pic:pic>
                  </a:graphicData>
                </a:graphic>
              </wp:inline>
            </w:drawing>
          </w:r>
        </w:p>
      </w:tc>
      <w:tc>
        <w:tcPr>
          <w:tcW w:w="2186" w:type="dxa"/>
          <w:tcMar>
            <w:left w:w="0" w:type="dxa"/>
            <w:right w:w="0" w:type="dxa"/>
          </w:tcMar>
        </w:tcPr>
        <w:p w:rsidR="00AD2E77" w:rsidRPr="00B82319" w:rsidRDefault="00AD2E77" w:rsidP="00AD2E77">
          <w:pPr>
            <w:ind w:left="-1"/>
            <w:jc w:val="center"/>
            <w:rPr>
              <w:rFonts w:ascii="Calibri" w:hAnsi="Calibri"/>
              <w:noProof/>
            </w:rPr>
          </w:pPr>
          <w:r w:rsidRPr="00B82319">
            <w:rPr>
              <w:rFonts w:ascii="Calibri" w:hAnsi="Calibri"/>
              <w:noProof/>
            </w:rPr>
            <w:drawing>
              <wp:inline distT="0" distB="0" distL="0" distR="0" wp14:anchorId="17A24B99" wp14:editId="483ADD23">
                <wp:extent cx="957580" cy="440055"/>
                <wp:effectExtent l="19050" t="0" r="0" b="0"/>
                <wp:docPr id="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srcRect/>
                        <a:stretch>
                          <a:fillRect/>
                        </a:stretch>
                      </pic:blipFill>
                      <pic:spPr bwMode="auto">
                        <a:xfrm>
                          <a:off x="0" y="0"/>
                          <a:ext cx="957580" cy="440055"/>
                        </a:xfrm>
                        <a:prstGeom prst="rect">
                          <a:avLst/>
                        </a:prstGeom>
                        <a:noFill/>
                        <a:ln w="9525">
                          <a:noFill/>
                          <a:miter lim="800000"/>
                          <a:headEnd/>
                          <a:tailEnd/>
                        </a:ln>
                      </pic:spPr>
                    </pic:pic>
                  </a:graphicData>
                </a:graphic>
              </wp:inline>
            </w:drawing>
          </w:r>
        </w:p>
      </w:tc>
      <w:tc>
        <w:tcPr>
          <w:tcW w:w="2633" w:type="dxa"/>
          <w:tcMar>
            <w:left w:w="0" w:type="dxa"/>
            <w:right w:w="0" w:type="dxa"/>
          </w:tcMar>
        </w:tcPr>
        <w:p w:rsidR="00AD2E77" w:rsidRPr="00B82319" w:rsidRDefault="00AD2E77" w:rsidP="00AD2E77">
          <w:pPr>
            <w:ind w:right="-1"/>
            <w:jc w:val="right"/>
            <w:rPr>
              <w:rFonts w:ascii="Calibri" w:hAnsi="Calibri"/>
              <w:noProof/>
            </w:rPr>
          </w:pPr>
          <w:r w:rsidRPr="00B82319">
            <w:rPr>
              <w:rFonts w:ascii="Calibri" w:hAnsi="Calibri"/>
              <w:noProof/>
            </w:rPr>
            <w:drawing>
              <wp:inline distT="0" distB="0" distL="0" distR="0" wp14:anchorId="1542562B" wp14:editId="2CF069EB">
                <wp:extent cx="1449070" cy="440055"/>
                <wp:effectExtent l="19050" t="0" r="0" b="0"/>
                <wp:docPr id="4"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srcRect/>
                        <a:stretch>
                          <a:fillRect/>
                        </a:stretch>
                      </pic:blipFill>
                      <pic:spPr bwMode="auto">
                        <a:xfrm>
                          <a:off x="0" y="0"/>
                          <a:ext cx="1449070" cy="440055"/>
                        </a:xfrm>
                        <a:prstGeom prst="rect">
                          <a:avLst/>
                        </a:prstGeom>
                        <a:noFill/>
                        <a:ln w="9525">
                          <a:noFill/>
                          <a:miter lim="800000"/>
                          <a:headEnd/>
                          <a:tailEnd/>
                        </a:ln>
                      </pic:spPr>
                    </pic:pic>
                  </a:graphicData>
                </a:graphic>
              </wp:inline>
            </w:drawing>
          </w:r>
        </w:p>
      </w:tc>
    </w:tr>
  </w:tbl>
  <w:p w:rsidR="00AD2E77" w:rsidRDefault="00AD2E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77"/>
    <w:rsid w:val="000C7435"/>
    <w:rsid w:val="00407104"/>
    <w:rsid w:val="006F6F59"/>
    <w:rsid w:val="00AD2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05E5"/>
  <w15:chartTrackingRefBased/>
  <w15:docId w15:val="{A5160DB3-F47D-408F-8135-57E5082C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2E7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2E77"/>
    <w:rPr>
      <w:sz w:val="20"/>
      <w:szCs w:val="20"/>
    </w:rPr>
  </w:style>
  <w:style w:type="character" w:styleId="Hipercze">
    <w:name w:val="Hyperlink"/>
    <w:uiPriority w:val="99"/>
    <w:rsid w:val="00AD2E77"/>
    <w:rPr>
      <w:rFonts w:cs="Times New Roman"/>
      <w:color w:val="0000FF"/>
      <w:u w:val="single"/>
    </w:rPr>
  </w:style>
  <w:style w:type="character" w:styleId="Odwoanieprzypisudolnego">
    <w:name w:val="footnote reference"/>
    <w:aliases w:val="Footnote Reference Number"/>
    <w:uiPriority w:val="99"/>
    <w:rsid w:val="00AD2E77"/>
    <w:rPr>
      <w:rFonts w:cs="Times New Roman"/>
      <w:vertAlign w:val="superscript"/>
    </w:rPr>
  </w:style>
  <w:style w:type="paragraph" w:customStyle="1" w:styleId="Tiret1">
    <w:name w:val="Tiret 1"/>
    <w:basedOn w:val="Normalny"/>
    <w:rsid w:val="00AD2E77"/>
    <w:pPr>
      <w:numPr>
        <w:numId w:val="1"/>
      </w:numPr>
      <w:spacing w:before="120" w:after="120" w:line="240" w:lineRule="auto"/>
      <w:jc w:val="both"/>
    </w:pPr>
    <w:rPr>
      <w:rFonts w:ascii="Times New Roman" w:eastAsia="Times New Roman" w:hAnsi="Times New Roman" w:cs="Times New Roman"/>
      <w:sz w:val="24"/>
      <w:lang w:eastAsia="en-GB"/>
    </w:rPr>
  </w:style>
  <w:style w:type="paragraph" w:styleId="Nagwek">
    <w:name w:val="header"/>
    <w:basedOn w:val="Normalny"/>
    <w:link w:val="NagwekZnak"/>
    <w:uiPriority w:val="99"/>
    <w:unhideWhenUsed/>
    <w:rsid w:val="00AD2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2E77"/>
  </w:style>
  <w:style w:type="paragraph" w:styleId="Stopka">
    <w:name w:val="footer"/>
    <w:basedOn w:val="Normalny"/>
    <w:link w:val="StopkaZnak"/>
    <w:uiPriority w:val="99"/>
    <w:unhideWhenUsed/>
    <w:rsid w:val="00AD2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E77"/>
  </w:style>
  <w:style w:type="paragraph" w:styleId="Tekstdymka">
    <w:name w:val="Balloon Text"/>
    <w:basedOn w:val="Normalny"/>
    <w:link w:val="TekstdymkaZnak"/>
    <w:uiPriority w:val="99"/>
    <w:semiHidden/>
    <w:unhideWhenUsed/>
    <w:rsid w:val="00AD2E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2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PL/TXT/?uri=celex:52000DC0001" TargetMode="External"/><Relationship Id="rId13" Type="http://schemas.openxmlformats.org/officeDocument/2006/relationships/hyperlink" Target="http://lex.online.wolterskluwer.pl/WKPLOnline/index.rpc" TargetMode="External"/><Relationship Id="rId3" Type="http://schemas.openxmlformats.org/officeDocument/2006/relationships/settings" Target="settings.xml"/><Relationship Id="rId7" Type="http://schemas.openxmlformats.org/officeDocument/2006/relationships/hyperlink" Target="http://archiwum.ekoportal.gov.pl/prawo_dokumenty_strategiczne/PolitykaOchronySrodowiskaUE/CeleZasadyPrawoOchronySrodUE.html" TargetMode="External"/><Relationship Id="rId12" Type="http://schemas.openxmlformats.org/officeDocument/2006/relationships/hyperlink" Target="https://www.mos.gov.pl/artykul/7_archiwum/23261_rzad_przyjal_masterplany_dla_dorzeczy_wisly_i_od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014-2020.rpo-swietokrzy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c.europa.eu/environment/nature/natura2000/management/guidance_en.htm" TargetMode="External"/><Relationship Id="rId4" Type="http://schemas.openxmlformats.org/officeDocument/2006/relationships/webSettings" Target="webSettings.xml"/><Relationship Id="rId9" Type="http://schemas.openxmlformats.org/officeDocument/2006/relationships/hyperlink" Target="http://eur-lex.europa.eu/LexUriServ/LexUriServ.do?uri=CELEX:31992L0043:EN:NOT" TargetMode="External"/><Relationship Id="rId14" Type="http://schemas.openxmlformats.org/officeDocument/2006/relationships/hyperlink" Target="http://klimada.mos.gov.pl/adaptacja-do-zmian-klimatu/perspektywa-finansowa-2014-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limat.imgw.pl/wp-content/uploads/2013/01/tom3.pdf" TargetMode="External"/><Relationship Id="rId2" Type="http://schemas.openxmlformats.org/officeDocument/2006/relationships/hyperlink" Target="https://www.gov.uk/government/uploads/system/uploads/attachment_data/file/82428/suds-consult-annexf-ia-111220.pdf" TargetMode="External"/><Relationship Id="rId1" Type="http://schemas.openxmlformats.org/officeDocument/2006/relationships/hyperlink" Target="http://ec.europa.eu/environment/nature/natura2000/management/guidance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9813</Words>
  <Characters>58882</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Milczarek, Justyna</dc:creator>
  <cp:keywords/>
  <dc:description/>
  <cp:lastModifiedBy>Milczarek, Justyna</cp:lastModifiedBy>
  <cp:revision>2</cp:revision>
  <dcterms:created xsi:type="dcterms:W3CDTF">2019-03-13T11:09:00Z</dcterms:created>
  <dcterms:modified xsi:type="dcterms:W3CDTF">2019-03-26T07:34:00Z</dcterms:modified>
</cp:coreProperties>
</file>