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572"/>
        <w:gridCol w:w="1965"/>
        <w:gridCol w:w="2368"/>
      </w:tblGrid>
      <w:tr w:rsidR="00F85A02" w:rsidRPr="00D77D6D" w14:paraId="1E1BF5F4" w14:textId="77777777" w:rsidTr="00E34958">
        <w:tc>
          <w:tcPr>
            <w:tcW w:w="1016" w:type="pct"/>
            <w:tcMar>
              <w:left w:w="0" w:type="dxa"/>
              <w:right w:w="0" w:type="dxa"/>
            </w:tcMar>
          </w:tcPr>
          <w:p w14:paraId="1E00CA63" w14:textId="77777777" w:rsidR="00F85A02" w:rsidRPr="00D77D6D" w:rsidRDefault="00F85A02" w:rsidP="00E34958">
            <w:pPr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1593BC39" wp14:editId="5FA883D0">
                  <wp:extent cx="1028700" cy="4381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1F60F4BC" w14:textId="77777777" w:rsidR="00F85A02" w:rsidRPr="00D77D6D" w:rsidRDefault="00F85A02" w:rsidP="00F85A02">
            <w:pPr>
              <w:tabs>
                <w:tab w:val="center" w:pos="1310"/>
              </w:tabs>
              <w:ind w:left="48"/>
              <w:rPr>
                <w:noProof/>
              </w:rPr>
            </w:pPr>
            <w:r>
              <w:rPr>
                <w:noProof/>
              </w:rPr>
              <w:tab/>
            </w:r>
            <w:r w:rsidRPr="009A4FD8">
              <w:rPr>
                <w:noProof/>
                <w:lang w:eastAsia="pl-PL"/>
              </w:rPr>
              <w:drawing>
                <wp:inline distT="0" distB="0" distL="0" distR="0" wp14:anchorId="5ED5A9BD" wp14:editId="45DD9612">
                  <wp:extent cx="1409700" cy="43815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65998FAF" w14:textId="77777777" w:rsidR="00F85A02" w:rsidRPr="00D77D6D" w:rsidRDefault="00F85A02" w:rsidP="00E34958">
            <w:pPr>
              <w:ind w:left="-1"/>
              <w:jc w:val="center"/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60D30548" wp14:editId="1A7E85B5">
                  <wp:extent cx="9525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4F2A200A" w14:textId="77777777" w:rsidR="00F85A02" w:rsidRPr="00D77D6D" w:rsidRDefault="00F85A02" w:rsidP="00E34958">
            <w:pPr>
              <w:ind w:right="-1"/>
              <w:jc w:val="right"/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02DC2F79" wp14:editId="5415E9B5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74EB5" w14:textId="77777777" w:rsidR="00C53911" w:rsidRPr="00EB7EAA" w:rsidRDefault="00C53911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Instrukcja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sporządzania</w:t>
      </w:r>
    </w:p>
    <w:p w14:paraId="60535104" w14:textId="77777777"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Studium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Wykonalności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Inwestycji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="00AE20A3" w:rsidRPr="00EB7EAA">
        <w:rPr>
          <w:rFonts w:cs="Arial"/>
          <w:b/>
          <w:bCs/>
          <w:sz w:val="36"/>
          <w:szCs w:val="36"/>
        </w:rPr>
        <w:t>(</w:t>
      </w:r>
      <w:r w:rsidR="00675902" w:rsidRPr="00EB7EAA">
        <w:rPr>
          <w:rFonts w:cs="Arial"/>
          <w:b/>
          <w:bCs/>
          <w:sz w:val="36"/>
          <w:szCs w:val="36"/>
        </w:rPr>
        <w:t>Projektu)</w:t>
      </w:r>
    </w:p>
    <w:p w14:paraId="7757E96E" w14:textId="77777777" w:rsidR="008B566F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dla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wnioskodawców</w:t>
      </w:r>
    </w:p>
    <w:p w14:paraId="02A31F25" w14:textId="77777777"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ubiegających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się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wsparcie</w:t>
      </w:r>
    </w:p>
    <w:p w14:paraId="46EE7D6C" w14:textId="77777777"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z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Europejskiego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Funduszu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Rozwoju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Regionalnego</w:t>
      </w:r>
    </w:p>
    <w:p w14:paraId="464E6DCE" w14:textId="77777777"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w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ramach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Regionalnego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Programu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Operacyjnego</w:t>
      </w:r>
    </w:p>
    <w:p w14:paraId="49D752F3" w14:textId="77777777" w:rsidR="006A54DE" w:rsidRDefault="0028357C" w:rsidP="00AB0796">
      <w:pPr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Województwa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Świętokrzyskiego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na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lata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2014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="00415E30">
        <w:rPr>
          <w:rFonts w:cs="Arial"/>
          <w:b/>
          <w:bCs/>
          <w:sz w:val="36"/>
          <w:szCs w:val="36"/>
        </w:rPr>
        <w:t>–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2020</w:t>
      </w:r>
    </w:p>
    <w:p w14:paraId="64960952" w14:textId="77777777" w:rsidR="00AB0796" w:rsidRPr="00AB0796" w:rsidRDefault="00AB0796" w:rsidP="00AB0796">
      <w:pPr>
        <w:jc w:val="center"/>
      </w:pPr>
      <w:r w:rsidRPr="00AB0796">
        <w:rPr>
          <w:noProof/>
          <w:lang w:eastAsia="pl-PL"/>
        </w:rPr>
        <w:drawing>
          <wp:inline distT="0" distB="0" distL="0" distR="0" wp14:anchorId="67B399CC" wp14:editId="70201E2B">
            <wp:extent cx="4878318" cy="4230094"/>
            <wp:effectExtent l="19050" t="0" r="0" b="0"/>
            <wp:docPr id="12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78" cy="423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06ED8" w14:textId="77777777" w:rsidR="0028357C" w:rsidRDefault="002751BE" w:rsidP="007B1DB8">
      <w:pPr>
        <w:jc w:val="center"/>
        <w:rPr>
          <w:rFonts w:ascii="Arial" w:hAnsi="Arial" w:cs="Arial"/>
          <w:sz w:val="20"/>
          <w:szCs w:val="20"/>
        </w:rPr>
      </w:pPr>
      <w:r w:rsidRPr="00EB7EAA">
        <w:rPr>
          <w:rFonts w:ascii="Arial" w:hAnsi="Arial" w:cs="Arial"/>
          <w:sz w:val="20"/>
          <w:szCs w:val="20"/>
        </w:rPr>
        <w:t>Kielce,</w:t>
      </w:r>
      <w:r w:rsidR="00656606">
        <w:rPr>
          <w:rFonts w:ascii="Arial" w:hAnsi="Arial" w:cs="Arial"/>
          <w:sz w:val="20"/>
          <w:szCs w:val="20"/>
        </w:rPr>
        <w:t xml:space="preserve"> </w:t>
      </w:r>
      <w:r w:rsidR="00027246">
        <w:rPr>
          <w:rFonts w:ascii="Arial" w:hAnsi="Arial" w:cs="Arial"/>
          <w:sz w:val="20"/>
          <w:szCs w:val="20"/>
        </w:rPr>
        <w:t>wrzesień</w:t>
      </w:r>
      <w:r w:rsidR="00656606">
        <w:rPr>
          <w:rFonts w:ascii="Arial" w:hAnsi="Arial" w:cs="Arial"/>
          <w:sz w:val="20"/>
          <w:szCs w:val="20"/>
        </w:rPr>
        <w:t xml:space="preserve"> </w:t>
      </w:r>
      <w:r w:rsidR="000E4F1B">
        <w:rPr>
          <w:rFonts w:ascii="Arial" w:hAnsi="Arial" w:cs="Arial"/>
          <w:sz w:val="20"/>
          <w:szCs w:val="20"/>
        </w:rPr>
        <w:t>201</w:t>
      </w:r>
      <w:r w:rsidR="0044684B">
        <w:rPr>
          <w:rFonts w:ascii="Arial" w:hAnsi="Arial" w:cs="Arial"/>
          <w:sz w:val="20"/>
          <w:szCs w:val="20"/>
        </w:rPr>
        <w:t>9</w:t>
      </w:r>
    </w:p>
    <w:p w14:paraId="24D94F6E" w14:textId="77777777" w:rsidR="00AB0796" w:rsidRPr="00EB7EAA" w:rsidRDefault="00AB0796" w:rsidP="007B1DB8">
      <w:pPr>
        <w:jc w:val="center"/>
        <w:rPr>
          <w:rFonts w:ascii="Arial" w:hAnsi="Arial" w:cs="Arial"/>
          <w:sz w:val="20"/>
          <w:szCs w:val="20"/>
        </w:rPr>
      </w:pPr>
    </w:p>
    <w:p w14:paraId="3FC8E549" w14:textId="77777777" w:rsidR="006A54DE" w:rsidRPr="00EB7EAA" w:rsidRDefault="00043312" w:rsidP="00FE491B">
      <w:pPr>
        <w:pStyle w:val="Nagwek1"/>
      </w:pPr>
      <w:bookmarkStart w:id="0" w:name="_Toc21079570"/>
      <w:r w:rsidRPr="00EB7EAA">
        <w:lastRenderedPageBreak/>
        <w:t>Zawartość</w:t>
      </w:r>
      <w:bookmarkEnd w:id="0"/>
    </w:p>
    <w:sdt>
      <w:sdtPr>
        <w:rPr>
          <w:b/>
          <w:bCs/>
        </w:rPr>
        <w:id w:val="334101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3F0D6F7E" w14:textId="77777777" w:rsidR="00E83FE8" w:rsidRDefault="007259B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>
            <w:fldChar w:fldCharType="begin"/>
          </w:r>
          <w:r w:rsidR="00A105F0">
            <w:instrText xml:space="preserve"> TOC \o "1-3" \h \z \u </w:instrText>
          </w:r>
          <w:r>
            <w:fldChar w:fldCharType="separate"/>
          </w:r>
          <w:hyperlink w:anchor="_Toc21079570" w:history="1">
            <w:r w:rsidR="00E83FE8" w:rsidRPr="006E4102">
              <w:rPr>
                <w:rStyle w:val="Hipercze"/>
                <w:noProof/>
              </w:rPr>
              <w:t>Zawartość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_Toc21079570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17AFFA2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1" w:history="1">
            <w:r w:rsidR="00E83FE8" w:rsidRPr="006E4102">
              <w:rPr>
                <w:rStyle w:val="Hipercze"/>
                <w:noProof/>
              </w:rPr>
              <w:t>Wstęp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_Toc21079571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6AD8892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2" w:history="1">
            <w:r w:rsidR="00E83FE8" w:rsidRPr="006E4102">
              <w:rPr>
                <w:rStyle w:val="Hipercze"/>
                <w:noProof/>
              </w:rPr>
              <w:t>Słownik pojęć i skrótów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_Toc21079572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6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2A5D3503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3" w:history="1">
            <w:r w:rsidR="00E83FE8" w:rsidRPr="006E4102">
              <w:rPr>
                <w:rStyle w:val="Hipercze"/>
                <w:noProof/>
              </w:rPr>
              <w:t>1.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Identyfikacja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_Toc21079573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18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4C78F94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4" w:history="1">
            <w:r w:rsidR="00E83FE8" w:rsidRPr="006E4102">
              <w:rPr>
                <w:rStyle w:val="Hipercze"/>
                <w:noProof/>
              </w:rPr>
              <w:t>Podstawowe dane o projekcie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_Toc21079574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19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6DBF24B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5" w:history="1">
            <w:r w:rsidR="00E83FE8" w:rsidRPr="006E4102">
              <w:rPr>
                <w:rStyle w:val="Hipercze"/>
                <w:noProof/>
              </w:rPr>
              <w:t>Opis stanu aktualnego (przed realizacją)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_Toc21079575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19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3EEACC56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6" w:history="1">
            <w:r w:rsidR="00E83FE8" w:rsidRPr="006E4102">
              <w:rPr>
                <w:rStyle w:val="Hipercze"/>
                <w:rFonts w:eastAsia="ArialNarrow,Bold"/>
                <w:noProof/>
              </w:rPr>
              <w:t>Opis stanu projektowanego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_Toc21079576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20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0ADD5B5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7" w:history="1">
            <w:r w:rsidR="00E83FE8" w:rsidRPr="006E4102">
              <w:rPr>
                <w:rStyle w:val="Hipercze"/>
                <w:noProof/>
              </w:rPr>
              <w:t>Lokalizacja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_Toc21079577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37EC721F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8" w:history="1">
            <w:r w:rsidR="00E83FE8" w:rsidRPr="006E4102">
              <w:rPr>
                <w:rStyle w:val="Hipercze"/>
                <w:rFonts w:eastAsia="ArialNarrow,Bold"/>
                <w:noProof/>
              </w:rPr>
              <w:t>Analiza pomocy publicznej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_Toc21079578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4E2E249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79" w:history="1">
            <w:r w:rsidR="00E83FE8" w:rsidRPr="006E4102">
              <w:rPr>
                <w:rStyle w:val="Hipercze"/>
                <w:noProof/>
              </w:rPr>
              <w:t>2.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Definicja celów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_Toc21079579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23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F0FC7E4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0" w:history="1">
            <w:r w:rsidR="00E83FE8" w:rsidRPr="006E4102">
              <w:rPr>
                <w:rStyle w:val="Hipercze"/>
                <w:noProof/>
              </w:rPr>
              <w:t>Wskaźniki realizacji celów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_Toc21079580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25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B74203C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1" w:history="1">
            <w:r w:rsidR="00E83FE8" w:rsidRPr="006E4102">
              <w:rPr>
                <w:rStyle w:val="Hipercze"/>
                <w:rFonts w:cs="Arial"/>
                <w:noProof/>
              </w:rPr>
              <w:t>3.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Komplementarność i spójność projektu z innymi przedsięwzięciami oraz zgodność z innymi programami, strategiami branżowymi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_Toc21079581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26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10596A8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2" w:history="1">
            <w:r w:rsidR="00E83FE8" w:rsidRPr="006E4102">
              <w:rPr>
                <w:rStyle w:val="Hipercze"/>
                <w:noProof/>
              </w:rPr>
              <w:t>4.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Instytucjonalna i prawna wykonalność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_Toc21079582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27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2E71846C" w14:textId="77777777" w:rsidR="00E83FE8" w:rsidRDefault="0019169C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3" w:history="1">
            <w:r w:rsidR="00E83FE8" w:rsidRPr="006E4102">
              <w:rPr>
                <w:rStyle w:val="Hipercze"/>
                <w:noProof/>
              </w:rPr>
              <w:t>4.1.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instytucjonalna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_Toc21079583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27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3F1F175" w14:textId="77777777" w:rsidR="00E83FE8" w:rsidRDefault="0019169C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4" w:history="1">
            <w:r w:rsidR="00E83FE8" w:rsidRPr="006E4102">
              <w:rPr>
                <w:rStyle w:val="Hipercze"/>
                <w:noProof/>
              </w:rPr>
              <w:t>4.2.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prawna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_Toc21079584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27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3C907A0" w14:textId="77777777" w:rsidR="00E83FE8" w:rsidRDefault="0019169C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5" w:history="1">
            <w:r w:rsidR="00E83FE8" w:rsidRPr="006E4102">
              <w:rPr>
                <w:rStyle w:val="Hipercze"/>
                <w:noProof/>
              </w:rPr>
              <w:t>4.3.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trwałości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_Toc21079585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28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2362ABD" w14:textId="77777777" w:rsidR="00E83FE8" w:rsidRDefault="0019169C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6" w:history="1">
            <w:r w:rsidR="00E83FE8" w:rsidRPr="006E4102">
              <w:rPr>
                <w:rStyle w:val="Hipercze"/>
                <w:noProof/>
              </w:rPr>
              <w:t>4.4.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Harmonogram wdrożenia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_Toc21079586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312758C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7" w:history="1">
            <w:r w:rsidR="00E83FE8" w:rsidRPr="006E4102">
              <w:rPr>
                <w:rStyle w:val="Hipercze"/>
                <w:noProof/>
              </w:rPr>
              <w:t>5.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wykonalności, analiza popytu oraz analiza opcji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_Toc21079587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29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76342A03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8" w:history="1">
            <w:r w:rsidR="00E83FE8" w:rsidRPr="006E4102">
              <w:rPr>
                <w:rStyle w:val="Hipercze"/>
                <w:noProof/>
              </w:rPr>
              <w:t>Analiza wykonalności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_Toc21079588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30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4A3CB119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89" w:history="1">
            <w:r w:rsidR="00E83FE8" w:rsidRPr="006E4102">
              <w:rPr>
                <w:rStyle w:val="Hipercze"/>
                <w:noProof/>
              </w:rPr>
              <w:t>Analiza popytu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_Toc21079589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31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1562EE2B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0" w:history="1">
            <w:r w:rsidR="00E83FE8" w:rsidRPr="006E4102">
              <w:rPr>
                <w:rStyle w:val="Hipercze"/>
                <w:noProof/>
              </w:rPr>
              <w:t>Analiza opcji (rozwiązań alternatywnych)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_Toc21079590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31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F57922F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1" w:history="1">
            <w:r w:rsidR="00E83FE8" w:rsidRPr="006E4102">
              <w:rPr>
                <w:rStyle w:val="Hipercze"/>
                <w:noProof/>
              </w:rPr>
              <w:t>Zastosowane rozwiązanie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_Toc21079591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41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2D8FCF25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2" w:history="1">
            <w:r w:rsidR="00E83FE8" w:rsidRPr="006E4102">
              <w:rPr>
                <w:rStyle w:val="Hipercze"/>
                <w:noProof/>
              </w:rPr>
              <w:t>6.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finansowa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_Toc21079592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41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10A8F85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3" w:history="1">
            <w:r w:rsidR="00E83FE8" w:rsidRPr="006E4102">
              <w:rPr>
                <w:rStyle w:val="Hipercze"/>
                <w:noProof/>
              </w:rPr>
              <w:t>Nakłady inwestycyjne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_Toc21079593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D3082F6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4" w:history="1">
            <w:r w:rsidR="00E83FE8" w:rsidRPr="006E4102">
              <w:rPr>
                <w:rStyle w:val="Hipercze"/>
                <w:noProof/>
              </w:rPr>
              <w:t>Ogólna metodyka przeprowadzania analizy finansowej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_Toc21079594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191CE034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5" w:history="1">
            <w:r w:rsidR="00E83FE8" w:rsidRPr="006E4102">
              <w:rPr>
                <w:rStyle w:val="Hipercze"/>
                <w:noProof/>
              </w:rPr>
              <w:t>Założenia do analizy finansowej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_Toc21079595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44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3D1D8CA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6" w:history="1">
            <w:r w:rsidR="00E83FE8" w:rsidRPr="006E4102">
              <w:rPr>
                <w:rStyle w:val="Hipercze"/>
                <w:noProof/>
              </w:rPr>
              <w:t>Określenie przychodów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_Toc21079596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47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24766775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7" w:history="1">
            <w:r w:rsidR="00E83FE8" w:rsidRPr="006E4102">
              <w:rPr>
                <w:rStyle w:val="Hipercze"/>
                <w:noProof/>
              </w:rPr>
              <w:t>Metoda luki w finansowaniu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_Toc21079597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49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D6BB9D2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8" w:history="1">
            <w:r w:rsidR="00E83FE8" w:rsidRPr="006E4102">
              <w:rPr>
                <w:rStyle w:val="Hipercze"/>
                <w:noProof/>
              </w:rPr>
              <w:t>Metoda zryczałtowanych procentowych stawek dochodów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_Toc21079598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8C4AC54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599" w:history="1">
            <w:r w:rsidR="00E83FE8" w:rsidRPr="006E4102">
              <w:rPr>
                <w:rStyle w:val="Hipercze"/>
                <w:noProof/>
              </w:rPr>
              <w:t>Wskaźniki efektywności finansowej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_Toc21079599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55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C13FE7E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0" w:history="1">
            <w:r w:rsidR="00E83FE8" w:rsidRPr="006E4102">
              <w:rPr>
                <w:rStyle w:val="Hipercze"/>
                <w:noProof/>
              </w:rPr>
              <w:t>Analiza trwałości finansowej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_Toc21079600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56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7616D16E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1" w:history="1">
            <w:r w:rsidR="00E83FE8" w:rsidRPr="006E4102">
              <w:rPr>
                <w:rStyle w:val="Hipercze"/>
                <w:noProof/>
              </w:rPr>
              <w:t>7.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kosztów i korzyści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_Toc21079601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57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46D68DD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2" w:history="1">
            <w:r w:rsidR="00E83FE8" w:rsidRPr="006E4102">
              <w:rPr>
                <w:rStyle w:val="Hipercze"/>
                <w:noProof/>
              </w:rPr>
              <w:t>8.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wrażliwości i ryzyka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_Toc21079602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58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45CC285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3" w:history="1">
            <w:r w:rsidR="00E83FE8" w:rsidRPr="006E4102">
              <w:rPr>
                <w:rStyle w:val="Hipercze"/>
                <w:noProof/>
              </w:rPr>
              <w:t>9.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Analizy i informacje sp</w:t>
            </w:r>
            <w:bookmarkStart w:id="1" w:name="_GoBack"/>
            <w:bookmarkEnd w:id="1"/>
            <w:r w:rsidR="00E83FE8" w:rsidRPr="006E4102">
              <w:rPr>
                <w:rStyle w:val="Hipercze"/>
                <w:noProof/>
              </w:rPr>
              <w:t>ecyficzne dla danego rodzaju projektu lub sektora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_Toc21079603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059F592A" w14:textId="77777777" w:rsidR="00E83FE8" w:rsidRDefault="0019169C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4" w:history="1">
            <w:r w:rsidR="00E83FE8" w:rsidRPr="006E4102">
              <w:rPr>
                <w:rStyle w:val="Hipercze"/>
                <w:noProof/>
              </w:rPr>
              <w:t>9.1 Inwestycje w infrastrukturę usług ochrony zdrowia – Wsparcie regionalnych podmiotów leczniczych, które realizują na rzecz osób dorosłych stacjonarne świadczenia opieki zdrowotnej w zakresie REHABILITACJI OGÓLNOUSTROJOWEJ dedykowanej chorobom UKŁADU KOSTNO-MIĘŚNIOWEGO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_Toc21079604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59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4D2C4280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5" w:history="1">
            <w:r w:rsidR="00E83FE8" w:rsidRPr="006E4102">
              <w:rPr>
                <w:rStyle w:val="Hipercze"/>
                <w:noProof/>
              </w:rPr>
              <w:t>10.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Analiza oddziaływania na środowisko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_Toc21079605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360002B7" w14:textId="77777777" w:rsidR="00E83FE8" w:rsidRDefault="0019169C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6" w:history="1">
            <w:r w:rsidR="00E83FE8" w:rsidRPr="006E4102">
              <w:rPr>
                <w:rStyle w:val="Hipercze"/>
                <w:i/>
                <w:noProof/>
              </w:rPr>
              <w:t>a.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Ocena oddziaływania na środowisko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_Toc21079606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72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3974F4A2" w14:textId="77777777" w:rsidR="00E83FE8" w:rsidRDefault="0019169C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7" w:history="1">
            <w:r w:rsidR="00E83FE8" w:rsidRPr="006E4102">
              <w:rPr>
                <w:rStyle w:val="Hipercze"/>
                <w:i/>
                <w:noProof/>
              </w:rPr>
              <w:t>b.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Wpływ na obszary Natura 2000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_Toc21079607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73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56D9AFA2" w14:textId="77777777" w:rsidR="00E83FE8" w:rsidRDefault="0019169C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8" w:history="1">
            <w:r w:rsidR="00E83FE8" w:rsidRPr="006E4102">
              <w:rPr>
                <w:rStyle w:val="Hipercze"/>
                <w:i/>
                <w:noProof/>
              </w:rPr>
              <w:t>c.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Przystosowanie do zmiany klimatu, łagodzenie zmiany klimatu oraz odporność na klęski żywiołowe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_Toc21079608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73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7833D04F" w14:textId="77777777" w:rsidR="00E83FE8" w:rsidRDefault="0019169C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09" w:history="1">
            <w:r w:rsidR="00E83FE8" w:rsidRPr="006E4102">
              <w:rPr>
                <w:rStyle w:val="Hipercze"/>
                <w:i/>
                <w:noProof/>
              </w:rPr>
              <w:t>d.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Wpływ na efektywne i racjonalne wykorzystywanie zasobów natury oraz stosowanie rozwiązań przyjaznych środowisku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_Toc21079609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74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76CB6D91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10" w:history="1">
            <w:r w:rsidR="00E83FE8" w:rsidRPr="006E4102">
              <w:rPr>
                <w:rStyle w:val="Hipercze"/>
                <w:noProof/>
              </w:rPr>
              <w:t>11.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Promocja projektu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_Toc21079610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75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75375214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11" w:history="1">
            <w:r w:rsidR="00E83FE8" w:rsidRPr="006E4102">
              <w:rPr>
                <w:rStyle w:val="Hipercze"/>
                <w:noProof/>
              </w:rPr>
              <w:t>12.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Wnioski i podsumowanie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_Toc21079611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75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654B396" w14:textId="77777777" w:rsidR="00E83FE8" w:rsidRDefault="0019169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21079612" w:history="1">
            <w:r w:rsidR="00E83FE8" w:rsidRPr="006E4102">
              <w:rPr>
                <w:rStyle w:val="Hipercze"/>
                <w:noProof/>
              </w:rPr>
              <w:t>13.</w:t>
            </w:r>
            <w:r w:rsidR="00E83FE8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E83FE8" w:rsidRPr="006E4102">
              <w:rPr>
                <w:rStyle w:val="Hipercze"/>
                <w:noProof/>
              </w:rPr>
              <w:t>Oświadczenie</w:t>
            </w:r>
            <w:r w:rsidR="00E83FE8">
              <w:rPr>
                <w:noProof/>
                <w:webHidden/>
              </w:rPr>
              <w:tab/>
            </w:r>
            <w:r w:rsidR="00E83FE8">
              <w:rPr>
                <w:noProof/>
                <w:webHidden/>
              </w:rPr>
              <w:fldChar w:fldCharType="begin"/>
            </w:r>
            <w:r w:rsidR="00E83FE8">
              <w:rPr>
                <w:noProof/>
                <w:webHidden/>
              </w:rPr>
              <w:instrText xml:space="preserve"> PAGEREF _Toc21079612 \h </w:instrText>
            </w:r>
            <w:r w:rsidR="00E83FE8">
              <w:rPr>
                <w:noProof/>
                <w:webHidden/>
              </w:rPr>
            </w:r>
            <w:r w:rsidR="00E83FE8">
              <w:rPr>
                <w:noProof/>
                <w:webHidden/>
              </w:rPr>
              <w:fldChar w:fldCharType="separate"/>
            </w:r>
            <w:r w:rsidR="00E83FE8">
              <w:rPr>
                <w:noProof/>
                <w:webHidden/>
              </w:rPr>
              <w:t>76</w:t>
            </w:r>
            <w:r w:rsidR="00E83FE8">
              <w:rPr>
                <w:noProof/>
                <w:webHidden/>
              </w:rPr>
              <w:fldChar w:fldCharType="end"/>
            </w:r>
          </w:hyperlink>
        </w:p>
        <w:p w14:paraId="653A0077" w14:textId="77777777" w:rsidR="00A105F0" w:rsidRDefault="007259BE">
          <w:r>
            <w:fldChar w:fldCharType="end"/>
          </w:r>
        </w:p>
      </w:sdtContent>
    </w:sdt>
    <w:p w14:paraId="7D30C46C" w14:textId="77777777" w:rsidR="006A54DE" w:rsidRPr="00EB7EAA" w:rsidRDefault="004620AF" w:rsidP="00EB7EAA">
      <w:pPr>
        <w:pStyle w:val="Nagwek1"/>
        <w:jc w:val="both"/>
      </w:pPr>
      <w:bookmarkStart w:id="2" w:name="_Toc21079571"/>
      <w:r w:rsidRPr="00EB7EAA">
        <w:lastRenderedPageBreak/>
        <w:t>Wstęp</w:t>
      </w:r>
      <w:bookmarkEnd w:id="2"/>
    </w:p>
    <w:p w14:paraId="52EC525A" w14:textId="77777777" w:rsidR="00646E62" w:rsidRPr="00EB7EAA" w:rsidRDefault="004620AF" w:rsidP="007D53F7">
      <w:pPr>
        <w:autoSpaceDE w:val="0"/>
        <w:autoSpaceDN w:val="0"/>
        <w:adjustRightInd w:val="0"/>
        <w:ind w:firstLine="567"/>
        <w:jc w:val="both"/>
        <w:rPr>
          <w:rFonts w:cs="Calibri,Italic"/>
          <w:b/>
          <w:iCs/>
          <w:szCs w:val="24"/>
        </w:rPr>
      </w:pPr>
      <w:r w:rsidRPr="00EB7EAA">
        <w:rPr>
          <w:rFonts w:cs="Calibri,Italic"/>
          <w:iCs/>
          <w:szCs w:val="24"/>
        </w:rPr>
        <w:t>Niniejszy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stanowi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instrukcję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opraco</w:t>
      </w:r>
      <w:r w:rsidRPr="00EB7EAA">
        <w:rPr>
          <w:rFonts w:cs="Calibri,Italic"/>
          <w:iCs/>
          <w:szCs w:val="24"/>
        </w:rPr>
        <w:t>wania</w:t>
      </w:r>
      <w:r w:rsidR="00656606">
        <w:rPr>
          <w:rFonts w:cs="Calibri,Italic"/>
          <w:iCs/>
          <w:szCs w:val="24"/>
        </w:rPr>
        <w:t xml:space="preserve"> </w:t>
      </w:r>
      <w:r w:rsidR="006F1D0F" w:rsidRPr="00EB7EAA">
        <w:rPr>
          <w:rFonts w:cs="Calibri,Italic"/>
          <w:iCs/>
          <w:szCs w:val="24"/>
        </w:rPr>
        <w:t>Studium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Wykonalności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(SW)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przedsięwzięć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inwestycyjnych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realizowanych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Regionalnego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Programu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Operacyjnego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Województwa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Świętokrzyskiego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na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lata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2014</w:t>
      </w:r>
      <w:r w:rsidR="00656606">
        <w:rPr>
          <w:rFonts w:cs="Calibri,Italic"/>
          <w:bCs/>
          <w:iCs/>
          <w:szCs w:val="24"/>
        </w:rPr>
        <w:t xml:space="preserve"> </w:t>
      </w:r>
      <w:r w:rsidR="00415E30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2020</w:t>
      </w:r>
      <w:r w:rsidR="00656606">
        <w:rPr>
          <w:rFonts w:cs="Arial"/>
          <w:bCs/>
          <w:szCs w:val="24"/>
        </w:rPr>
        <w:t xml:space="preserve"> </w:t>
      </w:r>
      <w:r w:rsidR="0022632B">
        <w:rPr>
          <w:rFonts w:cs="Calibri,Italic"/>
          <w:bCs/>
          <w:iCs/>
          <w:szCs w:val="24"/>
        </w:rPr>
        <w:t>z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Europejskiego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Funduszu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Rozwoju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Regionalnego</w:t>
      </w:r>
      <w:r w:rsidR="00656606">
        <w:rPr>
          <w:rFonts w:cs="Calibri,Italic"/>
          <w:bCs/>
          <w:iCs/>
          <w:szCs w:val="24"/>
        </w:rPr>
        <w:t xml:space="preserve"> </w:t>
      </w:r>
      <w:r w:rsidR="00A7789E" w:rsidRPr="00EB7EAA">
        <w:rPr>
          <w:rFonts w:cs="Calibri,Italic"/>
          <w:bCs/>
          <w:iCs/>
          <w:szCs w:val="24"/>
        </w:rPr>
        <w:t>(EFRR)</w:t>
      </w:r>
      <w:r w:rsidR="00BD505D" w:rsidRPr="00EB7EAA">
        <w:rPr>
          <w:rFonts w:cs="Calibri,Italic"/>
          <w:bCs/>
          <w:iCs/>
          <w:szCs w:val="24"/>
        </w:rPr>
        <w:t>.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Głównym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ujednolicenie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zasad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przygotowywania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wnioskodawców</w:t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pozwolą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osiągnięcie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efektu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porównywalności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inwestycji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aplikujących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Arial"/>
          <w:bCs/>
          <w:szCs w:val="24"/>
        </w:rPr>
        <w:t>RPOWŚ</w:t>
      </w:r>
      <w:r w:rsidR="00656606">
        <w:rPr>
          <w:rFonts w:cs="Arial"/>
          <w:bCs/>
          <w:szCs w:val="24"/>
        </w:rPr>
        <w:t xml:space="preserve"> </w:t>
      </w:r>
      <w:r w:rsidR="00030291" w:rsidRPr="00EB7EAA">
        <w:rPr>
          <w:rFonts w:cs="Calibri,Italic"/>
          <w:bCs/>
          <w:iCs/>
          <w:szCs w:val="24"/>
        </w:rPr>
        <w:t>2014</w:t>
      </w:r>
      <w:r w:rsidR="00656606">
        <w:rPr>
          <w:rFonts w:cs="Calibri,Italic"/>
          <w:bCs/>
          <w:iCs/>
          <w:szCs w:val="24"/>
        </w:rPr>
        <w:t xml:space="preserve"> </w:t>
      </w:r>
      <w:r w:rsidR="00415E30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030291" w:rsidRPr="00EB7EAA">
        <w:rPr>
          <w:rFonts w:cs="Calibri,Italic"/>
          <w:bCs/>
          <w:iCs/>
          <w:szCs w:val="24"/>
        </w:rPr>
        <w:t>2020</w:t>
      </w:r>
      <w:r w:rsidR="00656606">
        <w:rPr>
          <w:rFonts w:cs="Calibri,Italic"/>
          <w:bCs/>
          <w:iCs/>
          <w:szCs w:val="24"/>
        </w:rPr>
        <w:t xml:space="preserve"> </w:t>
      </w:r>
      <w:r w:rsidR="00F8319D" w:rsidRPr="00EB7EAA">
        <w:rPr>
          <w:rFonts w:cs="Calibri,Italic"/>
          <w:bCs/>
          <w:iCs/>
          <w:szCs w:val="24"/>
        </w:rPr>
        <w:t>z</w:t>
      </w:r>
      <w:r w:rsidR="00656606">
        <w:rPr>
          <w:rFonts w:cs="Calibri,Italic"/>
          <w:bCs/>
          <w:iCs/>
          <w:szCs w:val="24"/>
        </w:rPr>
        <w:t xml:space="preserve"> </w:t>
      </w:r>
      <w:r w:rsidR="00F8319D" w:rsidRPr="00EB7EAA">
        <w:rPr>
          <w:rFonts w:cs="Calibri,Italic"/>
          <w:bCs/>
          <w:iCs/>
          <w:szCs w:val="24"/>
        </w:rPr>
        <w:t>EFRR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Instrukcja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ta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ułatwić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wnioskodawcom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proces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przygotowywania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</w:t>
      </w:r>
      <w:r w:rsidR="0022632B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usystematyzowanie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pojęć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wprowadzenie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jednolitych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założeń.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Stanowić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one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bazę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umożliwiającą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dokonanie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oceny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przeprowadzenie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identyfikacji,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czy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projekt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projektem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generującym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dochód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myśl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="00F8319D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1303/2013</w:t>
      </w:r>
      <w:r w:rsidR="00814B94" w:rsidRPr="00EB7EAA">
        <w:rPr>
          <w:rFonts w:cs="Calibri,Italic"/>
          <w:i/>
          <w:iCs/>
          <w:szCs w:val="24"/>
        </w:rPr>
        <w:t>,</w:t>
      </w:r>
      <w:r w:rsidR="00656606">
        <w:rPr>
          <w:rFonts w:cs="Calibri,Italic"/>
          <w:i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jak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również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określ</w:t>
      </w:r>
      <w:r w:rsidR="004B5181">
        <w:rPr>
          <w:rFonts w:cs="Calibri,Italic"/>
          <w:iCs/>
          <w:szCs w:val="24"/>
        </w:rPr>
        <w:t>enie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wysokości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z</w:t>
      </w:r>
      <w:r w:rsidR="007510E4">
        <w:rPr>
          <w:rFonts w:cs="Calibri,Italic"/>
          <w:iCs/>
          <w:szCs w:val="24"/>
        </w:rPr>
        <w:t> </w:t>
      </w:r>
      <w:r w:rsidR="00814B94" w:rsidRPr="00EB7EAA">
        <w:rPr>
          <w:rFonts w:cs="Calibri,Italic"/>
          <w:iCs/>
          <w:szCs w:val="24"/>
        </w:rPr>
        <w:t>funduszy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UE.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SW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załącznikiem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rozszerzającym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4B5181">
        <w:rPr>
          <w:rFonts w:cs="Calibri,Italic"/>
          <w:iCs/>
          <w:szCs w:val="24"/>
        </w:rPr>
        <w:t>nformacje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zawarte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Wniosku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o</w:t>
      </w:r>
      <w:r w:rsidR="007510E4">
        <w:rPr>
          <w:rFonts w:cs="Calibri,Italic"/>
          <w:iCs/>
          <w:szCs w:val="24"/>
        </w:rPr>
        <w:t> </w:t>
      </w:r>
      <w:r w:rsidR="00307B38" w:rsidRPr="00EB7EAA">
        <w:rPr>
          <w:rFonts w:cs="Calibri,Italic"/>
          <w:iCs/>
          <w:szCs w:val="24"/>
        </w:rPr>
        <w:t>D</w:t>
      </w:r>
      <w:r w:rsidRPr="00EB7EAA">
        <w:rPr>
          <w:rFonts w:cs="Calibri,Italic"/>
          <w:iCs/>
          <w:szCs w:val="24"/>
        </w:rPr>
        <w:t>ofinansowanie</w:t>
      </w:r>
      <w:r w:rsidR="00656606">
        <w:rPr>
          <w:rFonts w:cs="Calibri,Italic"/>
          <w:iCs/>
          <w:szCs w:val="24"/>
        </w:rPr>
        <w:t xml:space="preserve"> </w:t>
      </w:r>
      <w:r w:rsidR="00A36582" w:rsidRPr="00EB7EAA">
        <w:rPr>
          <w:rFonts w:cs="Calibri,Italic"/>
          <w:iCs/>
          <w:szCs w:val="24"/>
        </w:rPr>
        <w:t>(</w:t>
      </w:r>
      <w:proofErr w:type="spellStart"/>
      <w:r w:rsidR="00A36582" w:rsidRPr="00EB7EAA">
        <w:rPr>
          <w:rFonts w:cs="Calibri,Italic"/>
          <w:iCs/>
          <w:szCs w:val="24"/>
        </w:rPr>
        <w:t>WoD</w:t>
      </w:r>
      <w:proofErr w:type="spellEnd"/>
      <w:r w:rsidR="00A36582" w:rsidRPr="00EB7EAA">
        <w:rPr>
          <w:rFonts w:cs="Calibri,Italic"/>
          <w:iCs/>
          <w:szCs w:val="24"/>
        </w:rPr>
        <w:t>)</w:t>
      </w:r>
      <w:r w:rsidR="00427CEE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który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należy</w:t>
      </w:r>
      <w:r w:rsidR="00656606">
        <w:rPr>
          <w:rFonts w:cs="Calibri,Italic"/>
          <w:b/>
          <w:iCs/>
          <w:szCs w:val="24"/>
        </w:rPr>
        <w:t xml:space="preserve"> </w:t>
      </w:r>
      <w:r w:rsidR="00A7789E" w:rsidRPr="00EB7EAA">
        <w:rPr>
          <w:rFonts w:cs="Calibri,Italic"/>
          <w:b/>
          <w:iCs/>
          <w:szCs w:val="24"/>
        </w:rPr>
        <w:t>obligatoryjnie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dołączyć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w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wersji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papierowej</w:t>
      </w:r>
      <w:r w:rsidR="00656606">
        <w:rPr>
          <w:rFonts w:cs="Calibri,Italic"/>
          <w:b/>
          <w:iCs/>
          <w:szCs w:val="24"/>
        </w:rPr>
        <w:t xml:space="preserve"> </w:t>
      </w:r>
      <w:r w:rsidR="004B5181">
        <w:rPr>
          <w:rFonts w:cs="Calibri,Italic"/>
          <w:b/>
          <w:iCs/>
          <w:szCs w:val="24"/>
        </w:rPr>
        <w:t>i</w:t>
      </w:r>
      <w:r w:rsidR="007510E4">
        <w:rPr>
          <w:rFonts w:cs="Calibri,Italic"/>
          <w:b/>
          <w:iCs/>
          <w:szCs w:val="24"/>
        </w:rPr>
        <w:t> </w:t>
      </w:r>
      <w:r w:rsidR="00497EC7" w:rsidRPr="00EB7EAA">
        <w:rPr>
          <w:rFonts w:cs="Calibri,Italic"/>
          <w:b/>
          <w:iCs/>
          <w:szCs w:val="24"/>
        </w:rPr>
        <w:t>elektronicznej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(płyta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CD/DVD)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dokumentacji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aplikacyjnej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oraz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dla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projektów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pozakonkursowych</w:t>
      </w:r>
      <w:r w:rsidR="00427CEE" w:rsidRPr="00EB7EAA">
        <w:rPr>
          <w:rFonts w:cs="Calibri,Italic"/>
          <w:b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tego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powodu</w:t>
      </w:r>
      <w:r w:rsidR="00656606">
        <w:rPr>
          <w:rFonts w:cs="Calibri,Italic"/>
          <w:b/>
          <w:iCs/>
          <w:szCs w:val="24"/>
        </w:rPr>
        <w:t xml:space="preserve"> </w:t>
      </w:r>
      <w:r w:rsidR="00820A51" w:rsidRPr="00EB7EAA">
        <w:rPr>
          <w:rFonts w:cs="Calibri,Italic"/>
          <w:b/>
          <w:iCs/>
          <w:szCs w:val="24"/>
        </w:rPr>
        <w:t>niezbędnym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przygotowanie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SW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zg</w:t>
      </w:r>
      <w:r w:rsidR="0022632B">
        <w:rPr>
          <w:rFonts w:cs="Calibri,Italic"/>
          <w:b/>
          <w:iCs/>
          <w:szCs w:val="24"/>
        </w:rPr>
        <w:t>odnie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z</w:t>
      </w:r>
      <w:r w:rsidR="007510E4">
        <w:rPr>
          <w:rFonts w:cs="Calibri,Italic"/>
          <w:b/>
          <w:iCs/>
          <w:szCs w:val="24"/>
        </w:rPr>
        <w:t> </w:t>
      </w:r>
      <w:r w:rsidR="0022632B">
        <w:rPr>
          <w:rFonts w:cs="Calibri,Italic"/>
          <w:b/>
          <w:iCs/>
          <w:szCs w:val="24"/>
        </w:rPr>
        <w:t>podanym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spisem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treści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wymaganiami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wskazanymi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dla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poszczególnych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jego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rozdziałów.</w:t>
      </w:r>
      <w:r w:rsidR="00656606">
        <w:rPr>
          <w:rFonts w:cs="Calibri,Italic"/>
          <w:b/>
          <w:iCs/>
          <w:szCs w:val="24"/>
        </w:rPr>
        <w:t xml:space="preserve"> </w:t>
      </w:r>
    </w:p>
    <w:p w14:paraId="4F202EEC" w14:textId="77777777" w:rsidR="00CF45C2" w:rsidRPr="00EB7EAA" w:rsidRDefault="00820A51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rozpoc</w:t>
      </w:r>
      <w:r w:rsidR="0022632B">
        <w:rPr>
          <w:rFonts w:cs="Calibri,Italic"/>
          <w:iCs/>
          <w:szCs w:val="24"/>
        </w:rPr>
        <w:t>zęły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przed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zatwierdzeniem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i</w:t>
      </w:r>
      <w:r w:rsidR="007510E4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opublikowaniem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niniejszej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dopuszcza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strukturze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zawartości,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niż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zostało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przedstawione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niniejszej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Jednak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7510E4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takim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względzie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zawarcia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wszystkich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wskazanych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elementów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informacji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zachowanie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zgodności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zawartymi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założeniami.</w:t>
      </w:r>
      <w:r w:rsidR="00656606">
        <w:rPr>
          <w:rFonts w:cs="Calibri,Italic"/>
          <w:iCs/>
          <w:szCs w:val="24"/>
        </w:rPr>
        <w:t xml:space="preserve"> </w:t>
      </w:r>
    </w:p>
    <w:p w14:paraId="20B4E09D" w14:textId="77777777" w:rsidR="00E95091" w:rsidRPr="00EB7EAA" w:rsidRDefault="00646E62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istotną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rolę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odgrywa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początkowy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etap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identyfikację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inwestycyjnych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zasadności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analizowanej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pozwala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uniknąć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bezpośredniego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przechodzenia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fazy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koncepcyjnej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technicznego,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uprzedniego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stopniowego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zbadania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alternatywnych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sposobów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realizacji.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Sporządzenie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często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pomaga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zminimalizować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ryzyko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uniknąć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podejmowania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błędnych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inwestycyjnych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eliminuje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zlecania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opracow</w:t>
      </w:r>
      <w:r w:rsidR="007B6F99" w:rsidRPr="00EB7EAA">
        <w:rPr>
          <w:rFonts w:cs="Calibri,Italic"/>
          <w:iCs/>
          <w:szCs w:val="24"/>
        </w:rPr>
        <w:t>yw</w:t>
      </w:r>
      <w:r w:rsidR="000971C6" w:rsidRPr="00EB7EAA">
        <w:rPr>
          <w:rFonts w:cs="Calibri,Italic"/>
          <w:iCs/>
          <w:szCs w:val="24"/>
        </w:rPr>
        <w:t>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wielu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szczegółowych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dokumentów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już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etapie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okazują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nieefektywne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nieuzasadnione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Przygotowane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zadanie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zaprezentować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zasadność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przedsięwzięcia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wskazać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optymalny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zakres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najkorzystniejszym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rozwiązaniu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technicznym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pokazać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jego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wykonalność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szczególności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aspekcie: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finansowym,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instytucjonalnym,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prawnym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środowiskowym.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Kluczową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kwestią,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podlegającą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ocenie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wykazanie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szczegółowej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analizy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ekonomiczno</w:t>
      </w:r>
      <w:r w:rsidR="004733F0">
        <w:rPr>
          <w:rFonts w:cs="Calibri,Italic"/>
          <w:iCs/>
          <w:szCs w:val="24"/>
        </w:rPr>
        <w:t>-</w:t>
      </w:r>
      <w:r w:rsidR="004620AF" w:rsidRPr="00EB7EAA">
        <w:rPr>
          <w:rFonts w:cs="Calibri,Italic"/>
          <w:iCs/>
          <w:szCs w:val="24"/>
        </w:rPr>
        <w:t>finansowej,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istnieją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lastRenderedPageBreak/>
        <w:t>ekonomicznie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uzasadnione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możliwe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alternatywy,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pozwoliłyby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osiągnąć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cele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bez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dotacji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środków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publicznych,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oparciu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mechanizmy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rynkowe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wsparciu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mechanizmów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regulacyjnych.</w:t>
      </w:r>
      <w:r w:rsidR="00656606">
        <w:rPr>
          <w:rFonts w:cs="Calibri,Italic"/>
          <w:iCs/>
          <w:szCs w:val="24"/>
        </w:rPr>
        <w:t xml:space="preserve"> </w:t>
      </w:r>
    </w:p>
    <w:p w14:paraId="5619A872" w14:textId="77777777" w:rsidR="004620AF" w:rsidRPr="00EB7EAA" w:rsidRDefault="004620AF" w:rsidP="000D4132">
      <w:pPr>
        <w:autoSpaceDE w:val="0"/>
        <w:autoSpaceDN w:val="0"/>
        <w:adjustRightInd w:val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opracowywaniu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rozdziałów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</w:t>
      </w:r>
      <w:r w:rsidR="003A5B99">
        <w:rPr>
          <w:rFonts w:cs="Calibri,Italic"/>
          <w:iCs/>
          <w:szCs w:val="24"/>
        </w:rPr>
        <w:t>eca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zwięzłość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i</w:t>
      </w:r>
      <w:r w:rsidR="004733F0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klarowność,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unikanie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zbędnej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drobiazgowości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jak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ogólności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opisów,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mając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uwadze,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rezultatem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udokumentowane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uprawdopodobnione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treści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zmiany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ekonomiczno</w:t>
      </w:r>
      <w:r w:rsidR="000D4132">
        <w:rPr>
          <w:rFonts w:cs="Calibri,Italic"/>
          <w:iCs/>
          <w:szCs w:val="24"/>
        </w:rPr>
        <w:t>-</w:t>
      </w:r>
      <w:r w:rsidRPr="00EB7EAA">
        <w:rPr>
          <w:rFonts w:cs="Calibri,Italic"/>
          <w:iCs/>
          <w:szCs w:val="24"/>
        </w:rPr>
        <w:t>społeczne,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jakie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miały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miejsce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bliższym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dalszym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otoczeniu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gospodarczym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wnioskodawcy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zrealizowaniu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projektu.</w:t>
      </w:r>
    </w:p>
    <w:p w14:paraId="31600D35" w14:textId="77777777" w:rsidR="004620AF" w:rsidRPr="00EB7EAA" w:rsidRDefault="004620A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zwrócić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szczególną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uwagę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zgodność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treści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rzeczywistym,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zwłaszcza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bieżącego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oczekiwanego</w:t>
      </w:r>
      <w:r w:rsidR="008D174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opisywanego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przedsięwzięcia.</w:t>
      </w:r>
      <w:r w:rsidR="00656606">
        <w:rPr>
          <w:rFonts w:cs="Calibri,Italic"/>
          <w:iCs/>
          <w:szCs w:val="24"/>
        </w:rPr>
        <w:t xml:space="preserve"> </w:t>
      </w:r>
      <w:proofErr w:type="spellStart"/>
      <w:r w:rsidR="00A36582" w:rsidRPr="00EB7EAA">
        <w:rPr>
          <w:rFonts w:cs="Calibri,Italic"/>
          <w:iCs/>
          <w:szCs w:val="24"/>
        </w:rPr>
        <w:t>WoD</w:t>
      </w:r>
      <w:proofErr w:type="spellEnd"/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dokumentami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bezpośrednio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sobą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powiązanymi</w:t>
      </w:r>
      <w:r w:rsidR="00A36582"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uzasadnia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wyjaśnia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tezy,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fakty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dane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zamieszczone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we</w:t>
      </w:r>
      <w:r w:rsidR="00656606">
        <w:rPr>
          <w:rFonts w:cs="Calibri,Italic"/>
          <w:iCs/>
          <w:szCs w:val="24"/>
        </w:rPr>
        <w:t xml:space="preserve"> </w:t>
      </w:r>
      <w:proofErr w:type="spellStart"/>
      <w:r w:rsidR="00E7710B" w:rsidRPr="00EB7EAA">
        <w:rPr>
          <w:rFonts w:cs="Calibri,Italic"/>
          <w:iCs/>
          <w:szCs w:val="24"/>
        </w:rPr>
        <w:t>WoD</w:t>
      </w:r>
      <w:proofErr w:type="spellEnd"/>
      <w:r w:rsidR="00F86F3B"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Zatem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rozbieżności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pomiędzy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dokumentami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podważają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wiarygodność</w:t>
      </w:r>
      <w:r w:rsidR="00656606">
        <w:rPr>
          <w:rFonts w:cs="Calibri,Italic"/>
          <w:iCs/>
          <w:szCs w:val="24"/>
        </w:rPr>
        <w:t xml:space="preserve"> </w:t>
      </w:r>
      <w:r w:rsidR="007B6F99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mogą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być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powodem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odrzucenia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obniżenia</w:t>
      </w:r>
      <w:r w:rsidR="00656606">
        <w:rPr>
          <w:rFonts w:cs="Calibri,Italic"/>
          <w:iCs/>
          <w:szCs w:val="24"/>
        </w:rPr>
        <w:t xml:space="preserve"> </w:t>
      </w:r>
      <w:r w:rsidR="007B6F99" w:rsidRPr="00EB7EAA">
        <w:rPr>
          <w:rFonts w:cs="Calibri,Italic"/>
          <w:iCs/>
          <w:szCs w:val="24"/>
        </w:rPr>
        <w:t>jego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oceny.</w:t>
      </w:r>
    </w:p>
    <w:p w14:paraId="4CE78464" w14:textId="77777777" w:rsidR="000971C6" w:rsidRPr="00EB7EAA" w:rsidRDefault="00572CF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/>
          <w:iCs/>
          <w:szCs w:val="24"/>
        </w:rPr>
      </w:pPr>
      <w:r w:rsidRPr="00EB7EAA">
        <w:rPr>
          <w:rFonts w:cs="Calibri,Italic"/>
          <w:b/>
          <w:iCs/>
          <w:szCs w:val="24"/>
        </w:rPr>
        <w:t>Przed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rozpoczęciem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redagowania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SW,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</w:t>
      </w:r>
      <w:r w:rsidR="004620AF" w:rsidRPr="00EB7EAA">
        <w:rPr>
          <w:rFonts w:cs="Calibri,Italic"/>
          <w:b/>
          <w:iCs/>
          <w:szCs w:val="24"/>
        </w:rPr>
        <w:t>skazane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zapoznanie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się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wnioskodawcy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</w:t>
      </w:r>
      <w:r w:rsidR="00301EB8">
        <w:rPr>
          <w:rFonts w:cs="Calibri,Italic"/>
          <w:b/>
          <w:iCs/>
          <w:szCs w:val="24"/>
        </w:rPr>
        <w:t> </w:t>
      </w:r>
      <w:r w:rsidR="004620AF" w:rsidRPr="00EB7EAA">
        <w:rPr>
          <w:rFonts w:cs="Calibri,Italic"/>
          <w:b/>
          <w:iCs/>
          <w:szCs w:val="24"/>
        </w:rPr>
        <w:t>kryteriami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wyboru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iCs/>
          <w:szCs w:val="24"/>
        </w:rPr>
        <w:t>operacji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iCs/>
          <w:szCs w:val="24"/>
        </w:rPr>
        <w:t>współfinansowanych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z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EFRR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w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ramach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RPOWŚ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na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lata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2014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15E30">
        <w:rPr>
          <w:rFonts w:cs="Calibri,Italic"/>
          <w:b/>
          <w:bCs/>
          <w:iCs/>
          <w:szCs w:val="24"/>
        </w:rPr>
        <w:t>–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2020,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a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szczególnie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punktowymi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kryteriami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merytorycznymi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dla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poszczególnych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działań</w:t>
      </w:r>
      <w:r w:rsidRPr="00EB7EAA">
        <w:rPr>
          <w:rFonts w:cs="Calibri,Italic"/>
          <w:b/>
          <w:iCs/>
          <w:szCs w:val="24"/>
        </w:rPr>
        <w:t>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tak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by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zapewnić,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iż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treść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Studium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będzie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umożliwiała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dokonanie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oceny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projektu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w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sposób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najbardziej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satysfakcjonujący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wnioskodawcę</w:t>
      </w:r>
      <w:r w:rsidR="004620AF" w:rsidRPr="00EB7EAA">
        <w:rPr>
          <w:rFonts w:cs="Calibri,Italic"/>
          <w:b/>
          <w:iCs/>
          <w:szCs w:val="24"/>
        </w:rPr>
        <w:t>.</w:t>
      </w:r>
      <w:r w:rsidR="00656606">
        <w:rPr>
          <w:rFonts w:cs="Calibri,Italic"/>
          <w:b/>
          <w:iCs/>
          <w:szCs w:val="24"/>
        </w:rPr>
        <w:t xml:space="preserve"> </w:t>
      </w:r>
    </w:p>
    <w:p w14:paraId="68CEDDDF" w14:textId="77777777" w:rsidR="006A54DE" w:rsidRPr="00EB7EAA" w:rsidRDefault="00A36582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wziąć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pod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uwagę</w:t>
      </w:r>
      <w:r w:rsidR="00572CF5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przedmiotowa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instrukcja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przedstawia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jedynie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wskazówki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zalecenia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</w:t>
      </w:r>
      <w:r w:rsidR="000971C6" w:rsidRPr="00EB7EAA">
        <w:rPr>
          <w:rFonts w:cs="Calibri,Italic"/>
          <w:iCs/>
          <w:szCs w:val="24"/>
        </w:rPr>
        <w:t>porządzania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składanych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RPOWŚ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lata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EFRR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P</w:t>
      </w:r>
      <w:r w:rsidRPr="00EB7EAA">
        <w:rPr>
          <w:rFonts w:cs="Calibri,Italic"/>
          <w:iCs/>
          <w:szCs w:val="24"/>
        </w:rPr>
        <w:t>rzy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opracow</w:t>
      </w:r>
      <w:r w:rsidR="00E7710B" w:rsidRPr="00EB7EAA">
        <w:rPr>
          <w:rFonts w:cs="Calibri,Italic"/>
          <w:iCs/>
          <w:szCs w:val="24"/>
        </w:rPr>
        <w:t>yw</w:t>
      </w:r>
      <w:r w:rsidR="00701918" w:rsidRPr="00EB7EAA">
        <w:rPr>
          <w:rFonts w:cs="Calibri,Italic"/>
          <w:iCs/>
          <w:szCs w:val="24"/>
        </w:rPr>
        <w:t>aniu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trzeba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mieć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przede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wszystkim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uwadze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zac</w:t>
      </w:r>
      <w:r w:rsidR="006131D3" w:rsidRPr="00EB7EAA">
        <w:rPr>
          <w:rFonts w:cs="Calibri,Italic"/>
          <w:iCs/>
          <w:szCs w:val="24"/>
        </w:rPr>
        <w:t>howania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zgodności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sporządzanego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dokumentu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z</w:t>
      </w:r>
      <w:r w:rsidR="004733F0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zapisami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obowiązujących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rozporządzeń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PE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(UE)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dyrektyw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UE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innych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powszechnie</w:t>
      </w:r>
      <w:r w:rsidR="00656606">
        <w:rPr>
          <w:rFonts w:cs="Calibri,Italic"/>
          <w:iCs/>
          <w:szCs w:val="24"/>
        </w:rPr>
        <w:t xml:space="preserve"> </w:t>
      </w:r>
      <w:r w:rsidR="00B06A4B" w:rsidRPr="00EB7EAA">
        <w:rPr>
          <w:rFonts w:cs="Calibri,Italic"/>
          <w:iCs/>
          <w:szCs w:val="24"/>
        </w:rPr>
        <w:t>obowiązujących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prawnych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dokumentów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wskazanych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w</w:t>
      </w:r>
      <w:r w:rsidR="004733F0">
        <w:rPr>
          <w:rFonts w:cs="Calibri,Italic"/>
          <w:iCs/>
          <w:szCs w:val="24"/>
        </w:rPr>
        <w:t> </w:t>
      </w:r>
      <w:r w:rsidR="003D3BCC"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r</w:t>
      </w:r>
      <w:r w:rsidR="00A655D6" w:rsidRPr="00EB7EAA">
        <w:rPr>
          <w:rFonts w:cs="Calibri,Italic"/>
          <w:iCs/>
          <w:szCs w:val="24"/>
        </w:rPr>
        <w:t>egulaminach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konkursów</w:t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szczególności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z:</w:t>
      </w:r>
    </w:p>
    <w:p w14:paraId="6322A347" w14:textId="77777777" w:rsidR="006A54DE" w:rsidRPr="00D67937" w:rsidRDefault="00FA2BD2" w:rsidP="002B64E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426"/>
        <w:rPr>
          <w:rFonts w:cs="Calibri,Italic"/>
          <w:bCs/>
          <w:iCs/>
          <w:szCs w:val="24"/>
        </w:rPr>
      </w:pPr>
      <w:r w:rsidRPr="00D67937">
        <w:rPr>
          <w:rFonts w:cs="Calibri,Italic"/>
          <w:i/>
          <w:iCs/>
          <w:szCs w:val="24"/>
        </w:rPr>
        <w:t>Przewodnikiem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po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analizie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kosztów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i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korzyści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projektów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i/>
          <w:iCs/>
          <w:szCs w:val="24"/>
        </w:rPr>
        <w:t>inwestycyjnych.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Narzędzie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analizy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ekonomicznej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polityki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spójności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2014</w:t>
      </w:r>
      <w:r w:rsid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–</w:t>
      </w:r>
      <w:r w:rsidR="00D67937">
        <w:rPr>
          <w:rFonts w:cs="Calibri,Italic"/>
          <w:bCs/>
          <w:i/>
          <w:iCs/>
          <w:szCs w:val="24"/>
        </w:rPr>
        <w:t xml:space="preserve"> </w:t>
      </w:r>
      <w:r w:rsidRPr="00D67937">
        <w:rPr>
          <w:rFonts w:cs="Calibri,Italic"/>
          <w:bCs/>
          <w:i/>
          <w:iCs/>
          <w:szCs w:val="24"/>
        </w:rPr>
        <w:t>2020</w:t>
      </w:r>
      <w:r w:rsidR="00656606" w:rsidRPr="00D67937">
        <w:rPr>
          <w:rFonts w:cs="Calibri,Italic"/>
          <w:b/>
          <w:bCs/>
          <w:i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(Robocze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tłumaczenie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na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język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polski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–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lipiec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2015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r.).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Komisja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Europejska,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grudzień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2014</w:t>
      </w:r>
      <w:r w:rsidR="00656606" w:rsidRPr="00D67937">
        <w:rPr>
          <w:rFonts w:cs="Calibri,Italic"/>
          <w:iCs/>
          <w:szCs w:val="24"/>
        </w:rPr>
        <w:t xml:space="preserve"> </w:t>
      </w:r>
      <w:r w:rsidRPr="00D67937">
        <w:rPr>
          <w:rFonts w:cs="Calibri,Italic"/>
          <w:iCs/>
          <w:szCs w:val="24"/>
        </w:rPr>
        <w:t>r.</w:t>
      </w:r>
      <w:r w:rsidR="00656606" w:rsidRPr="00D67937">
        <w:rPr>
          <w:rFonts w:cs="Calibri,Italic"/>
          <w:iCs/>
          <w:szCs w:val="24"/>
        </w:rPr>
        <w:t xml:space="preserve"> </w:t>
      </w:r>
      <w:r w:rsidR="00B54E3C" w:rsidRPr="00D67937">
        <w:rPr>
          <w:rFonts w:cs="Calibri,Italic"/>
          <w:bCs/>
          <w:iCs/>
          <w:szCs w:val="24"/>
        </w:rPr>
        <w:t>zwanym</w:t>
      </w:r>
      <w:r w:rsidR="00656606" w:rsidRPr="00D67937">
        <w:rPr>
          <w:rFonts w:cs="Calibri,Italic"/>
          <w:bCs/>
          <w:iCs/>
          <w:szCs w:val="24"/>
        </w:rPr>
        <w:t xml:space="preserve"> </w:t>
      </w:r>
      <w:r w:rsidR="00B54E3C" w:rsidRPr="00D67937">
        <w:rPr>
          <w:rFonts w:cs="Calibri,Italic"/>
          <w:bCs/>
          <w:iCs/>
          <w:szCs w:val="24"/>
        </w:rPr>
        <w:t>dalej</w:t>
      </w:r>
      <w:r w:rsidR="00656606" w:rsidRPr="00D67937">
        <w:rPr>
          <w:rFonts w:cs="Calibri,Italic"/>
          <w:bCs/>
          <w:iCs/>
          <w:szCs w:val="24"/>
        </w:rPr>
        <w:t xml:space="preserve"> </w:t>
      </w:r>
      <w:r w:rsidR="00B54E3C" w:rsidRPr="00D67937">
        <w:rPr>
          <w:rFonts w:cs="Calibri,Italic"/>
          <w:bCs/>
          <w:i/>
          <w:iCs/>
          <w:szCs w:val="24"/>
        </w:rPr>
        <w:t>Przewodnikiem</w:t>
      </w:r>
      <w:r w:rsidR="00656606" w:rsidRPr="00D67937">
        <w:rPr>
          <w:rFonts w:cs="Calibri,Italic"/>
          <w:bCs/>
          <w:i/>
          <w:iCs/>
          <w:szCs w:val="24"/>
        </w:rPr>
        <w:t xml:space="preserve"> </w:t>
      </w:r>
      <w:r w:rsidR="00B54E3C" w:rsidRPr="00D67937">
        <w:rPr>
          <w:rFonts w:cs="Calibri,Italic"/>
          <w:bCs/>
          <w:i/>
          <w:iCs/>
          <w:szCs w:val="24"/>
        </w:rPr>
        <w:t>AKK</w:t>
      </w:r>
      <w:r w:rsidR="00B06A4B" w:rsidRPr="00D67937">
        <w:rPr>
          <w:rFonts w:cs="Calibri,Italic"/>
          <w:bCs/>
          <w:i/>
          <w:iCs/>
          <w:szCs w:val="24"/>
        </w:rPr>
        <w:t>;</w:t>
      </w:r>
    </w:p>
    <w:p w14:paraId="42DED0E1" w14:textId="77777777" w:rsidR="006A54DE" w:rsidRPr="00D67937" w:rsidRDefault="00701918" w:rsidP="002B64E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426"/>
        <w:rPr>
          <w:rFonts w:cs="Calibri,Italic"/>
          <w:iCs/>
          <w:szCs w:val="24"/>
        </w:rPr>
      </w:pPr>
      <w:r w:rsidRPr="00D67937">
        <w:rPr>
          <w:rFonts w:cs="Calibri,Italic"/>
          <w:i/>
          <w:iCs/>
          <w:szCs w:val="24"/>
        </w:rPr>
        <w:t>Wytycznymi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zakresie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zagadnień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związanych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z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przygotowaniem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projektów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inwestycyjnych,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tym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projektów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generujących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dochód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i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projektów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hybrydowych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na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lata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2014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15E30" w:rsidRPr="00D67937">
        <w:rPr>
          <w:rFonts w:cs="Calibri,Italic"/>
          <w:i/>
          <w:iCs/>
          <w:szCs w:val="24"/>
        </w:rPr>
        <w:t>–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A36582" w:rsidRPr="00D67937">
        <w:rPr>
          <w:rFonts w:cs="Calibri,Italic"/>
          <w:i/>
          <w:iCs/>
          <w:szCs w:val="24"/>
        </w:rPr>
        <w:t>2020</w:t>
      </w:r>
      <w:r w:rsidR="00656606" w:rsidRPr="00D67937">
        <w:rPr>
          <w:rFonts w:cs="Calibri,Italic"/>
          <w:iCs/>
          <w:szCs w:val="24"/>
        </w:rPr>
        <w:t xml:space="preserve"> </w:t>
      </w:r>
      <w:r w:rsidR="00C51187" w:rsidRPr="00D67937">
        <w:rPr>
          <w:rFonts w:cs="Calibri,Italic"/>
          <w:iCs/>
          <w:szCs w:val="24"/>
        </w:rPr>
        <w:t>zatwierdzonymi</w:t>
      </w:r>
      <w:r w:rsidR="00656606" w:rsidRPr="00D67937">
        <w:rPr>
          <w:rFonts w:cs="Calibri,Italic"/>
          <w:iCs/>
          <w:szCs w:val="24"/>
        </w:rPr>
        <w:t xml:space="preserve"> </w:t>
      </w:r>
      <w:r w:rsidR="00FD4214" w:rsidRPr="00D67937">
        <w:rPr>
          <w:rFonts w:cs="Calibri,Italic"/>
          <w:iCs/>
          <w:szCs w:val="24"/>
        </w:rPr>
        <w:t>przez</w:t>
      </w:r>
      <w:r w:rsidR="00656606" w:rsidRPr="00D67937">
        <w:rPr>
          <w:rFonts w:cs="Calibri,Italic"/>
          <w:iCs/>
          <w:szCs w:val="24"/>
        </w:rPr>
        <w:t xml:space="preserve"> </w:t>
      </w:r>
      <w:r w:rsidR="00FD4214" w:rsidRPr="00D67937">
        <w:rPr>
          <w:rFonts w:cs="Calibri,Italic"/>
          <w:iCs/>
          <w:szCs w:val="24"/>
        </w:rPr>
        <w:t>Mi</w:t>
      </w:r>
      <w:r w:rsidR="004F21A4" w:rsidRPr="00D67937">
        <w:rPr>
          <w:rFonts w:cs="Calibri,Italic"/>
          <w:iCs/>
          <w:szCs w:val="24"/>
        </w:rPr>
        <w:t>nistra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Cs/>
          <w:szCs w:val="24"/>
        </w:rPr>
        <w:t>Infrastruktury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Cs/>
          <w:szCs w:val="24"/>
        </w:rPr>
        <w:t>i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Cs/>
          <w:szCs w:val="24"/>
        </w:rPr>
        <w:t>Rozwoju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Cs/>
          <w:szCs w:val="24"/>
        </w:rPr>
        <w:t>zwanymi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Cs/>
          <w:szCs w:val="24"/>
        </w:rPr>
        <w:t>dalej</w:t>
      </w:r>
      <w:r w:rsidR="00656606" w:rsidRPr="00D67937">
        <w:rPr>
          <w:rFonts w:cs="Calibri,Italic"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Wytycznymi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zakresie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zagadnień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związanych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z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przygotowaniem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projektów</w:t>
      </w:r>
      <w:r w:rsidR="00656606" w:rsidRPr="00D67937">
        <w:rPr>
          <w:rFonts w:cs="Calibri,Italic"/>
          <w:i/>
          <w:iCs/>
          <w:szCs w:val="24"/>
        </w:rPr>
        <w:t xml:space="preserve"> </w:t>
      </w:r>
      <w:r w:rsidR="004F21A4" w:rsidRPr="00D67937">
        <w:rPr>
          <w:rFonts w:cs="Calibri,Italic"/>
          <w:i/>
          <w:iCs/>
          <w:szCs w:val="24"/>
        </w:rPr>
        <w:t>inwestycyjnych.</w:t>
      </w:r>
    </w:p>
    <w:p w14:paraId="79002BC4" w14:textId="77777777" w:rsidR="006A54DE" w:rsidRPr="00EB7EAA" w:rsidRDefault="006A54DE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</w:p>
    <w:p w14:paraId="169BEADA" w14:textId="77777777" w:rsidR="006A54DE" w:rsidRPr="00EB7EAA" w:rsidRDefault="00211BFC" w:rsidP="00EB7EAA">
      <w:pPr>
        <w:pStyle w:val="Nagwek1"/>
        <w:jc w:val="both"/>
      </w:pPr>
      <w:bookmarkStart w:id="3" w:name="_Toc21079572"/>
      <w:r w:rsidRPr="00EB7EAA">
        <w:t>Słownik</w:t>
      </w:r>
      <w:r w:rsidR="00656606">
        <w:t xml:space="preserve"> </w:t>
      </w:r>
      <w:r w:rsidRPr="00EB7EAA">
        <w:t>pojęć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skrótów</w:t>
      </w:r>
      <w:bookmarkEnd w:id="3"/>
      <w:r w:rsidR="00656606">
        <w:t xml:space="preserve"> </w:t>
      </w:r>
    </w:p>
    <w:p w14:paraId="768D6F5B" w14:textId="77777777" w:rsidR="00DB1ABB" w:rsidRPr="00EB7EAA" w:rsidRDefault="00211BFC" w:rsidP="00EB7EAA">
      <w:pPr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efektywności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kosztowej</w:t>
      </w:r>
      <w:r w:rsidR="00656606">
        <w:rPr>
          <w:szCs w:val="24"/>
        </w:rPr>
        <w:t xml:space="preserve"> </w:t>
      </w:r>
      <w:r w:rsidR="002C64A0" w:rsidRPr="00EB7EAA">
        <w:rPr>
          <w:szCs w:val="24"/>
        </w:rPr>
        <w:t>(AEK,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ang.</w:t>
      </w:r>
      <w:r w:rsidR="00656606">
        <w:rPr>
          <w:szCs w:val="24"/>
        </w:rPr>
        <w:t xml:space="preserve"> </w:t>
      </w:r>
      <w:proofErr w:type="spellStart"/>
      <w:r w:rsidR="002C64A0" w:rsidRPr="00EB7EAA">
        <w:rPr>
          <w:i/>
          <w:iCs/>
          <w:szCs w:val="24"/>
        </w:rPr>
        <w:t>Cost</w:t>
      </w:r>
      <w:proofErr w:type="spellEnd"/>
      <w:r w:rsidR="00656606">
        <w:rPr>
          <w:i/>
          <w:iCs/>
          <w:szCs w:val="24"/>
        </w:rPr>
        <w:t xml:space="preserve"> </w:t>
      </w:r>
      <w:proofErr w:type="spellStart"/>
      <w:r w:rsidR="002C64A0" w:rsidRPr="00EB7EAA">
        <w:rPr>
          <w:i/>
          <w:iCs/>
          <w:szCs w:val="24"/>
        </w:rPr>
        <w:t>Effectiveness</w:t>
      </w:r>
      <w:proofErr w:type="spellEnd"/>
      <w:r w:rsidR="00656606">
        <w:rPr>
          <w:i/>
          <w:iCs/>
          <w:szCs w:val="24"/>
        </w:rPr>
        <w:t xml:space="preserve"> </w:t>
      </w:r>
      <w:r w:rsidR="002C64A0" w:rsidRPr="00EB7EAA">
        <w:rPr>
          <w:i/>
          <w:iCs/>
          <w:szCs w:val="24"/>
        </w:rPr>
        <w:t>Analysis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CEA</w:t>
      </w:r>
      <w:r w:rsidR="00DB1ABB" w:rsidRPr="00EB7EAA">
        <w:rPr>
          <w:szCs w:val="24"/>
        </w:rPr>
        <w:t>)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stosuje</w:t>
      </w:r>
      <w:r w:rsidR="00656606">
        <w:rPr>
          <w:szCs w:val="24"/>
        </w:rPr>
        <w:t xml:space="preserve"> </w:t>
      </w:r>
      <w:r w:rsidR="00BE6702" w:rsidRPr="00EB7EAA">
        <w:rPr>
          <w:szCs w:val="24"/>
        </w:rPr>
        <w:t>się,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</w:t>
      </w:r>
      <w:r w:rsidR="00DB1ABB" w:rsidRPr="00EB7EAA">
        <w:rPr>
          <w:szCs w:val="24"/>
        </w:rPr>
        <w:t>tegoriach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szczególny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301EB8">
        <w:rPr>
          <w:szCs w:val="24"/>
        </w:rPr>
        <w:t> 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osiągnięcia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skwantyfikowania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przypisanie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korzyściom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konkretnej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(ang.</w:t>
      </w:r>
      <w:r w:rsidR="00656606">
        <w:rPr>
          <w:szCs w:val="24"/>
        </w:rPr>
        <w:t xml:space="preserve"> </w:t>
      </w:r>
      <w:proofErr w:type="spellStart"/>
      <w:r w:rsidRPr="00EB7EAA">
        <w:rPr>
          <w:i/>
          <w:iCs/>
          <w:szCs w:val="24"/>
        </w:rPr>
        <w:t>Dynamic</w:t>
      </w:r>
      <w:proofErr w:type="spellEnd"/>
      <w:r w:rsidR="00656606">
        <w:rPr>
          <w:i/>
          <w:iCs/>
          <w:szCs w:val="24"/>
        </w:rPr>
        <w:t xml:space="preserve"> </w:t>
      </w:r>
      <w:proofErr w:type="spellStart"/>
      <w:r w:rsidRPr="00EB7EAA">
        <w:rPr>
          <w:i/>
          <w:iCs/>
          <w:szCs w:val="24"/>
        </w:rPr>
        <w:t>Generation</w:t>
      </w:r>
      <w:proofErr w:type="spellEnd"/>
      <w:r w:rsidR="00656606">
        <w:rPr>
          <w:i/>
          <w:iCs/>
          <w:szCs w:val="24"/>
        </w:rPr>
        <w:t xml:space="preserve"> </w:t>
      </w:r>
      <w:proofErr w:type="spellStart"/>
      <w:r w:rsidRPr="00EB7EAA">
        <w:rPr>
          <w:i/>
          <w:iCs/>
          <w:szCs w:val="24"/>
        </w:rPr>
        <w:t>Cost</w:t>
      </w:r>
      <w:proofErr w:type="spellEnd"/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DGC</w:t>
      </w:r>
      <w:r w:rsidRPr="00EB7EAA">
        <w:rPr>
          <w:szCs w:val="24"/>
        </w:rPr>
        <w:t>).</w:t>
      </w:r>
      <w:r w:rsidR="00656606">
        <w:rPr>
          <w:szCs w:val="24"/>
        </w:rPr>
        <w:t xml:space="preserve"> </w:t>
      </w:r>
    </w:p>
    <w:p w14:paraId="2AF5DECF" w14:textId="77777777" w:rsidR="00DB1ABB" w:rsidRPr="00EB7EAA" w:rsidRDefault="00234A67" w:rsidP="00EB7EAA">
      <w:pPr>
        <w:jc w:val="both"/>
        <w:rPr>
          <w:bCs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ekonomiczna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Posługuje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wartościami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ekonomicznymi,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odzwierciedlają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byłoby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gotowe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zapłacić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określone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dobro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usługę.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Wycenia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wszystkie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czynniki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alternatywnym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społeczeństwa.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szczególnym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rodzajem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przeprowadzana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drodze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skorygowania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fiskalne,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zewnętrzne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rozrachunkowe.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Podobnie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stosuje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zdyskontowanych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i/>
          <w:iCs/>
          <w:kern w:val="32"/>
          <w:szCs w:val="24"/>
        </w:rPr>
        <w:t>Discounted</w:t>
      </w:r>
      <w:proofErr w:type="spellEnd"/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Cash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i/>
          <w:iCs/>
          <w:kern w:val="32"/>
          <w:szCs w:val="24"/>
        </w:rPr>
        <w:t>Flows</w:t>
      </w:r>
      <w:proofErr w:type="spellEnd"/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DCF</w:t>
      </w:r>
      <w:r w:rsidRPr="00EB7EAA">
        <w:rPr>
          <w:rFonts w:eastAsia="Times New Roman"/>
          <w:bCs/>
          <w:kern w:val="32"/>
          <w:szCs w:val="24"/>
        </w:rPr>
        <w:t>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357182A4" w14:textId="77777777" w:rsidR="00DB1ABB" w:rsidRPr="00EB7EAA" w:rsidRDefault="00234A67" w:rsidP="00EB7EAA">
      <w:pPr>
        <w:jc w:val="both"/>
        <w:rPr>
          <w:bCs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weryfikację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trwałości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właściwego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(maksymalnego)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dofinansowania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funduszy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Dokonywana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zazwyczaj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punktu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właściciela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przypadku,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gdy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projekcie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występuje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kilka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podmiotów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właściciel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operator),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należy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skonsolidowanej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całościowo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pokazującej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wyliczenia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stosuje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zdyskontowanych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(DCF).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5EADA671" w14:textId="77777777" w:rsidR="00DB1ABB" w:rsidRPr="00EB7EAA" w:rsidRDefault="00234A67" w:rsidP="00EB7EAA">
      <w:pPr>
        <w:jc w:val="both"/>
        <w:rPr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Analiza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kosztów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K/K,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AKK)</w:t>
      </w:r>
      <w:r w:rsidR="00656606">
        <w:rPr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i/>
          <w:iCs/>
          <w:kern w:val="32"/>
          <w:szCs w:val="24"/>
        </w:rPr>
        <w:t>Cost</w:t>
      </w:r>
      <w:proofErr w:type="spellEnd"/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Benefit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Analysis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CBA</w:t>
      </w:r>
      <w:r w:rsidRPr="00EB7EAA">
        <w:rPr>
          <w:rFonts w:eastAsia="Times New Roman"/>
          <w:bCs/>
          <w:kern w:val="32"/>
          <w:szCs w:val="24"/>
        </w:rPr>
        <w:t>)</w:t>
      </w:r>
      <w:r w:rsidR="00656606">
        <w:rPr>
          <w:szCs w:val="24"/>
        </w:rPr>
        <w:t xml:space="preserve"> </w:t>
      </w:r>
      <w:r w:rsidR="0024270F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mierze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zasługuje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publicznego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punktu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widzenia.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różni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zwykłej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że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uwzględnia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również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możliwe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skwantyfikowania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zyski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i/>
          <w:iCs/>
          <w:kern w:val="32"/>
          <w:szCs w:val="24"/>
        </w:rPr>
        <w:t>benefits</w:t>
      </w:r>
      <w:proofErr w:type="spellEnd"/>
      <w:r w:rsidRPr="00EB7EAA">
        <w:rPr>
          <w:rFonts w:eastAsia="Times New Roman"/>
          <w:bCs/>
          <w:kern w:val="32"/>
          <w:szCs w:val="24"/>
        </w:rPr>
        <w:t>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straty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(koszty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i/>
          <w:iCs/>
          <w:kern w:val="32"/>
          <w:szCs w:val="24"/>
        </w:rPr>
        <w:t>costs</w:t>
      </w:r>
      <w:proofErr w:type="spellEnd"/>
      <w:r w:rsidRPr="00EB7EAA">
        <w:rPr>
          <w:rFonts w:eastAsia="Times New Roman"/>
          <w:bCs/>
          <w:kern w:val="32"/>
          <w:szCs w:val="24"/>
        </w:rPr>
        <w:t>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niezależnie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tego,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lastRenderedPageBreak/>
        <w:t>ponosi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realizujący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społeczeństwo.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K/K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przybiera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często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postać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koryguje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fiskalne,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zewnętrzne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rozrachunkowe.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AKK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wyrazić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wiele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sposobów,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F41218">
        <w:rPr>
          <w:rFonts w:eastAsia="Times New Roman"/>
          <w:bCs/>
          <w:kern w:val="32"/>
          <w:szCs w:val="24"/>
        </w:rPr>
        <w:t> 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postaci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wewnętrznej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stopy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zwrotu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(ERR</w:t>
      </w:r>
      <w:r w:rsidR="0067121E" w:rsidRPr="00EB7EAA">
        <w:rPr>
          <w:szCs w:val="24"/>
        </w:rPr>
        <w:t>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bieżącej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netto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(ENPV)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współczynnika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korzyści/koszty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(B/C)</w:t>
      </w:r>
      <w:r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Szczegółowe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informacje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temat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metodyki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przeprowadzania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znaleźć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F41218">
        <w:rPr>
          <w:rFonts w:eastAsia="Times New Roman"/>
          <w:bCs/>
          <w:kern w:val="32"/>
          <w:szCs w:val="24"/>
        </w:rPr>
        <w:t> </w:t>
      </w:r>
      <w:r w:rsidRPr="00EB7EAA">
        <w:rPr>
          <w:rFonts w:eastAsia="Times New Roman"/>
          <w:bCs/>
          <w:i/>
          <w:iCs/>
          <w:kern w:val="32"/>
          <w:szCs w:val="24"/>
        </w:rPr>
        <w:t>Przewodniku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AKK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936812" w:rsidRPr="00EB7EAA">
        <w:rPr>
          <w:szCs w:val="24"/>
        </w:rPr>
        <w:t>(patrz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Przewodnika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AKK).</w:t>
      </w:r>
    </w:p>
    <w:p w14:paraId="46D72739" w14:textId="77777777" w:rsidR="00A75E47" w:rsidRPr="00EB7EAA" w:rsidRDefault="00685B9C" w:rsidP="00EB7EAA">
      <w:pPr>
        <w:jc w:val="both"/>
        <w:rPr>
          <w:rFonts w:eastAsia="Times New Roman"/>
          <w:bCs/>
          <w:kern w:val="32"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ryzyka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prawdopodobieństwa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wygenerowania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określonych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wyników,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również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najbardziej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prawdopodobnego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przedziału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odchyleń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reprezentującej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najbardziej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dokładny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szacunek.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47089E4F" w14:textId="77777777" w:rsidR="00DB1ABB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Analiza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skonsolidowana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szczególne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podejście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ramach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stosowane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realizowanych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systemie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kilku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których:</w:t>
      </w:r>
      <w:r w:rsidR="00656606">
        <w:rPr>
          <w:kern w:val="32"/>
          <w:sz w:val="24"/>
          <w:szCs w:val="24"/>
        </w:rPr>
        <w:t xml:space="preserve"> </w:t>
      </w:r>
    </w:p>
    <w:p w14:paraId="30AE060E" w14:textId="77777777" w:rsidR="00A75E47" w:rsidRPr="00EB7EAA" w:rsidRDefault="00A75E47" w:rsidP="00265A33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EB7EAA">
        <w:rPr>
          <w:kern w:val="32"/>
          <w:sz w:val="24"/>
          <w:szCs w:val="24"/>
        </w:rPr>
        <w:t>obok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(system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czym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odpowiedzialny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eksploatację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majątku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powstałego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lub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zmodernizowanego</w:t>
      </w:r>
      <w:r w:rsidR="00C5705D" w:rsidRPr="00EB7EAA">
        <w:rPr>
          <w:kern w:val="32"/>
          <w:sz w:val="24"/>
          <w:szCs w:val="24"/>
        </w:rPr>
        <w:t>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wyniku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zrealizowanych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umów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związanych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przeprowadzanym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inwestycyjnym.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stać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właścicielem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majątku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wytworzonego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ramach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powyższych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umów,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9600AD">
        <w:rPr>
          <w:kern w:val="32"/>
          <w:sz w:val="24"/>
          <w:szCs w:val="24"/>
        </w:rPr>
        <w:t> </w:t>
      </w:r>
      <w:r w:rsidRPr="00EB7EAA">
        <w:rPr>
          <w:kern w:val="32"/>
          <w:sz w:val="24"/>
          <w:szCs w:val="24"/>
        </w:rPr>
        <w:t>poszanow</w:t>
      </w:r>
      <w:r w:rsidR="00B24B32" w:rsidRPr="00EB7EAA">
        <w:rPr>
          <w:kern w:val="32"/>
          <w:sz w:val="24"/>
          <w:szCs w:val="24"/>
        </w:rPr>
        <w:t>aniem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zasady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trwałości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projektu;</w:t>
      </w:r>
      <w:r w:rsidR="00656606">
        <w:rPr>
          <w:kern w:val="32"/>
          <w:sz w:val="24"/>
          <w:szCs w:val="24"/>
        </w:rPr>
        <w:t xml:space="preserve"> </w:t>
      </w:r>
    </w:p>
    <w:p w14:paraId="1F2B1A42" w14:textId="77777777" w:rsidR="00A75E47" w:rsidRPr="00EB7EAA" w:rsidRDefault="00A75E47" w:rsidP="00265A33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wiele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(system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wielu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podmiotów).</w:t>
      </w:r>
      <w:r w:rsidR="00656606">
        <w:rPr>
          <w:kern w:val="32"/>
          <w:sz w:val="24"/>
          <w:szCs w:val="24"/>
        </w:rPr>
        <w:t xml:space="preserve"> </w:t>
      </w:r>
    </w:p>
    <w:p w14:paraId="539B2147" w14:textId="77777777" w:rsidR="006A54DE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rekomendowane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oddzielnie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kilka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gmin),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skonsolidowanej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(tzn.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wyeliminowanie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wzajemnych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rozliczeń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potrzeb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dalszych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ryzyka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wrażliwości)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wykorzystywać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skonsolidowanej.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1588FB1" w14:textId="77777777" w:rsidR="006A54DE" w:rsidRPr="00EB7EAA" w:rsidRDefault="00A75E47" w:rsidP="006A2A8D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trwałości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finansowej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weryfikację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(źródła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łącznie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wpływami)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wystarczą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pokrycie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wszystkich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przestrzeni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potwierdzona,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jeśli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skumulowane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przepływy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netto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ujemne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żadnym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zbadana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beneficjenta/operatora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9600AD">
        <w:rPr>
          <w:szCs w:val="24"/>
        </w:rPr>
        <w:t> </w:t>
      </w:r>
      <w:r w:rsidRPr="00EB7EAA">
        <w:rPr>
          <w:szCs w:val="24"/>
        </w:rPr>
        <w:t>projektem.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niezdyskontowanych.</w:t>
      </w:r>
      <w:r w:rsidR="00656606">
        <w:rPr>
          <w:szCs w:val="24"/>
        </w:rPr>
        <w:t xml:space="preserve"> </w:t>
      </w:r>
    </w:p>
    <w:p w14:paraId="3D8D262F" w14:textId="77777777" w:rsidR="006A54DE" w:rsidRPr="00EB7EAA" w:rsidRDefault="00D517F1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/>
          <w:bCs/>
          <w:szCs w:val="24"/>
        </w:rPr>
        <w:lastRenderedPageBreak/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wielokryterialna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(AW)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zestaw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algorytmów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wybierania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rozwiązań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alternatywnych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zgodnie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zbiorem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różnych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względnych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„wag”.</w:t>
      </w:r>
      <w:r w:rsidR="00656606">
        <w:rPr>
          <w:bCs/>
          <w:szCs w:val="24"/>
        </w:rPr>
        <w:t xml:space="preserve"> </w:t>
      </w:r>
    </w:p>
    <w:p w14:paraId="6AFEAB58" w14:textId="77777777" w:rsidR="006A54DE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Analiza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wrażliwości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umożliwiająca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systematyczne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badanie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wynikami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zdarzenia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odbiegają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szacunkowych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prognozowania.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pojedynczych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beneficjenta/operatora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zrównałaby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NPV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(ekonomiczną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zerem.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wrażliwości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modyfikacji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poddawana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parametry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niezmienione</w:t>
      </w:r>
      <w:r w:rsidR="00D21C28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14:paraId="47004535" w14:textId="77777777" w:rsidR="006A54DE" w:rsidRPr="00EB7EAA" w:rsidRDefault="00D21C28" w:rsidP="006910D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Całkowity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projektu/inwestycji: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wydatki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niekwalifikowalne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9600AD">
        <w:rPr>
          <w:szCs w:val="24"/>
        </w:rPr>
        <w:t> </w:t>
      </w:r>
      <w:r w:rsidRPr="00EB7EAA">
        <w:rPr>
          <w:szCs w:val="24"/>
        </w:rPr>
        <w:t>rozumieniu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Wytycznych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kwalifikowalności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wydatków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Rozwoju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Regionalnego,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Społecznego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oraz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Spójności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lata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2014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2020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momentu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ukończenia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Obejmuje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powiększone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ewentualne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rezerwy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nieprzewidziane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ogólne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ww.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wytycznych,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zasadach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wytycznych.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zawierać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VAT,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niezależnie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zwrotowi.</w:t>
      </w:r>
      <w:r w:rsidR="00656606">
        <w:rPr>
          <w:szCs w:val="24"/>
        </w:rPr>
        <w:t xml:space="preserve"> </w:t>
      </w:r>
    </w:p>
    <w:p w14:paraId="706BCE01" w14:textId="77777777" w:rsidR="006A54DE" w:rsidRPr="00EB7EAA" w:rsidRDefault="00D21C2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Całkowity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koszt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kwalifikowalny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projektu/inwestycji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(EC):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7007C8">
        <w:rPr>
          <w:sz w:val="24"/>
          <w:szCs w:val="24"/>
        </w:rPr>
        <w:t> 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65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brany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określaniu,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dużych,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100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pomniejsza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jedną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zasad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1303/2013.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brany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uwagę,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określaniu,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podlega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reżimowi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prawnemu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aktu,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uznany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(patrz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dalej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skorygowanych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</w:p>
    <w:p w14:paraId="72CAEEB3" w14:textId="77777777" w:rsidR="006A54DE" w:rsidRPr="00EB7EAA" w:rsidRDefault="008634BD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bieżące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(nominalne)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występujące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faktycznie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czasie.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ogólnej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inflacji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odróżniać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stałych.</w:t>
      </w:r>
      <w:r w:rsidR="00656606">
        <w:rPr>
          <w:szCs w:val="24"/>
        </w:rPr>
        <w:t xml:space="preserve"> </w:t>
      </w:r>
    </w:p>
    <w:p w14:paraId="6E34506C" w14:textId="77777777" w:rsidR="006A54DE" w:rsidRPr="00EB7EAA" w:rsidRDefault="008634B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lastRenderedPageBreak/>
        <w:t>Ceny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rozrachunkowe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(ukryte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ang.</w:t>
      </w:r>
      <w:r w:rsidR="00656606">
        <w:rPr>
          <w:sz w:val="24"/>
          <w:szCs w:val="24"/>
        </w:rPr>
        <w:t xml:space="preserve"> </w:t>
      </w:r>
      <w:proofErr w:type="spellStart"/>
      <w:r w:rsidRPr="00EB7EAA">
        <w:rPr>
          <w:i/>
          <w:iCs/>
          <w:sz w:val="24"/>
          <w:szCs w:val="24"/>
        </w:rPr>
        <w:t>shadow</w:t>
      </w:r>
      <w:proofErr w:type="spellEnd"/>
      <w:r w:rsidR="00656606">
        <w:rPr>
          <w:i/>
          <w:iCs/>
          <w:sz w:val="24"/>
          <w:szCs w:val="24"/>
        </w:rPr>
        <w:t xml:space="preserve"> </w:t>
      </w:r>
      <w:proofErr w:type="spellStart"/>
      <w:r w:rsidRPr="00EB7EAA">
        <w:rPr>
          <w:i/>
          <w:iCs/>
          <w:sz w:val="24"/>
          <w:szCs w:val="24"/>
        </w:rPr>
        <w:t>prices</w:t>
      </w:r>
      <w:proofErr w:type="spellEnd"/>
      <w:r w:rsidRPr="00EB7EAA">
        <w:rPr>
          <w:bCs/>
          <w:sz w:val="24"/>
          <w:szCs w:val="24"/>
        </w:rPr>
        <w:t>)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alternatywny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dóbr,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zazwyczaj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pozwala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ująć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adekwatny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społeczeństwa.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temat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przekształcania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przykładowymi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konwersji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14:paraId="67FE21C3" w14:textId="77777777" w:rsidR="006A54DE" w:rsidRPr="00EB7EAA" w:rsidRDefault="008634BD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stałe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(realne)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według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bazowego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wyeliminować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inflacji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odróżniać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bieżących.</w:t>
      </w:r>
      <w:r w:rsidR="00656606">
        <w:rPr>
          <w:szCs w:val="24"/>
        </w:rPr>
        <w:t xml:space="preserve"> </w:t>
      </w:r>
    </w:p>
    <w:p w14:paraId="1B6230A6" w14:textId="77777777" w:rsidR="002503DC" w:rsidRPr="00EB7EAA" w:rsidRDefault="002503D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Dochód</w:t>
      </w:r>
      <w:r w:rsidR="00656606">
        <w:rPr>
          <w:b/>
          <w:bCs/>
          <w:sz w:val="24"/>
          <w:szCs w:val="24"/>
        </w:rPr>
        <w:t xml:space="preserve"> </w:t>
      </w:r>
      <w:r w:rsidR="005B00F9"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operację,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infrastruktury,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sprzedaż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dzierżawę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gruntu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budynków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wyposażenia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krótkotrwałego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Zalicza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oszczędności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(operacyjnych)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chyba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skompensowane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równoważnym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zmniejszeniem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faktem,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ujęciu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jedynie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</w:p>
    <w:p w14:paraId="20F11EFB" w14:textId="77777777" w:rsidR="002503DC" w:rsidRPr="00EB7EAA" w:rsidRDefault="002503DC" w:rsidP="00EB7EAA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dochód:</w:t>
      </w:r>
      <w:r w:rsidR="00656606">
        <w:rPr>
          <w:rFonts w:ascii="Arial" w:hAnsi="Arial" w:cs="Arial"/>
          <w:lang w:eastAsia="pl-PL"/>
        </w:rPr>
        <w:t xml:space="preserve"> </w:t>
      </w:r>
    </w:p>
    <w:p w14:paraId="5D3E5262" w14:textId="77777777" w:rsidR="002503DC" w:rsidRPr="00EB7EAA" w:rsidRDefault="002503DC" w:rsidP="00265A33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wyprzedzeniem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jeśli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dotyczy).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powiększyć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rezydualną;</w:t>
      </w:r>
      <w:r w:rsidR="00656606">
        <w:rPr>
          <w:sz w:val="24"/>
          <w:szCs w:val="24"/>
        </w:rPr>
        <w:t xml:space="preserve"> </w:t>
      </w:r>
    </w:p>
    <w:p w14:paraId="3AEB5337" w14:textId="77777777" w:rsidR="002503DC" w:rsidRPr="00EB7EAA" w:rsidRDefault="002503DC" w:rsidP="00265A33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wyprzedzeniem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Pr="00EB7EAA">
        <w:rPr>
          <w:rStyle w:val="Odwoanieprzypisudolnego"/>
          <w:sz w:val="24"/>
          <w:szCs w:val="24"/>
        </w:rPr>
        <w:footnoteReference w:id="1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okresie.</w:t>
      </w:r>
      <w:r w:rsidR="00656606">
        <w:rPr>
          <w:sz w:val="24"/>
          <w:szCs w:val="24"/>
        </w:rPr>
        <w:t xml:space="preserve"> </w:t>
      </w:r>
    </w:p>
    <w:p w14:paraId="70E4481C" w14:textId="77777777" w:rsidR="006A54DE" w:rsidRPr="00EB7EAA" w:rsidRDefault="002503D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65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8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płatności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otrzymane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tytułu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naruszenia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zawartej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beneficjentem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stronami</w:t>
      </w:r>
      <w:r w:rsidR="00656606">
        <w:rPr>
          <w:sz w:val="24"/>
          <w:szCs w:val="24"/>
        </w:rPr>
        <w:t xml:space="preserve"> </w:t>
      </w:r>
      <w:r w:rsidR="00011944" w:rsidRPr="00EB7EAA">
        <w:rPr>
          <w:sz w:val="24"/>
          <w:szCs w:val="24"/>
        </w:rPr>
        <w:t>trzecimi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miejsce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wycofania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oferty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wybieranej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zamówieniach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(wadium)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odejmowane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0AF3FEE" w14:textId="77777777" w:rsidR="005B00F9" w:rsidRPr="00EB7EAA" w:rsidRDefault="005B00F9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Duże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projekty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100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FF763F">
        <w:rPr>
          <w:szCs w:val="24"/>
        </w:rPr>
        <w:t> </w:t>
      </w:r>
      <w:r w:rsidRPr="00EB7EAA">
        <w:rPr>
          <w:szCs w:val="24"/>
        </w:rPr>
        <w:t>całkowitym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przekraczającym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50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mln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Wyjątek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9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tematycznym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Promowanie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zrównoważonego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transportu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usuwanie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niedoborów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przepustowości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działaniu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najważniejszej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infrastruktury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sieciowej,</w:t>
      </w:r>
      <w:r w:rsidR="00656606">
        <w:rPr>
          <w:i/>
          <w:iCs/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próg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wynosi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75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mln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kwalifikowalnych.</w:t>
      </w:r>
      <w:r w:rsidR="00656606">
        <w:rPr>
          <w:szCs w:val="24"/>
        </w:rPr>
        <w:t xml:space="preserve"> </w:t>
      </w:r>
    </w:p>
    <w:p w14:paraId="5E343459" w14:textId="77777777" w:rsidR="005B00F9" w:rsidRPr="00EB7EAA" w:rsidRDefault="005B00F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projektu/inwestycji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dalej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definicja).</w:t>
      </w:r>
      <w:r w:rsidR="00656606">
        <w:rPr>
          <w:sz w:val="24"/>
          <w:szCs w:val="24"/>
        </w:rPr>
        <w:t xml:space="preserve"> </w:t>
      </w:r>
    </w:p>
    <w:p w14:paraId="13C91E97" w14:textId="77777777" w:rsidR="006A54DE" w:rsidRPr="00EB7EAA" w:rsidRDefault="005B00F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arytmetyczną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Narodowego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Polskiego,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ostatnich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sześciu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poprzedzających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Pr="00EB7EAA">
        <w:rPr>
          <w:rStyle w:val="Odwoanieprzypisudolnego"/>
          <w:sz w:val="24"/>
          <w:szCs w:val="24"/>
        </w:rPr>
        <w:footnoteReference w:id="2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statusu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późniejszym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wdrażanych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FF763F">
        <w:rPr>
          <w:sz w:val="24"/>
          <w:szCs w:val="24"/>
        </w:rPr>
        <w:t> </w:t>
      </w:r>
      <w:r w:rsidRPr="00EB7EAA">
        <w:rPr>
          <w:sz w:val="24"/>
          <w:szCs w:val="24"/>
        </w:rPr>
        <w:t>kilku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kwotowe,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FF763F">
        <w:rPr>
          <w:sz w:val="24"/>
          <w:szCs w:val="24"/>
        </w:rPr>
        <w:t> 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odnoszą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sumy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perspektywę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2007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A74725" w14:textId="77777777" w:rsidR="006A54DE" w:rsidRPr="00EB7EAA" w:rsidRDefault="001F69F1" w:rsidP="00FC34F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Dyskontowanie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="005B00F9" w:rsidRPr="00EB7EAA">
        <w:rPr>
          <w:szCs w:val="24"/>
        </w:rPr>
        <w:t>proces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dostosowywania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przyszłej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obecnej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użyciu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stopy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dyskontowej,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ujęcia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zmiany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pieniądza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czasie.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Dyskontowanie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odbywa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przemnożenie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przyszłej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współczynnik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dyskontowy,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który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maleje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wraz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upływem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czasu.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związku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faktem,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iż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dyskontowania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pierwszy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traktowany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„rok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zerowy”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(t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=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0;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współczynnik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=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1)</w:t>
      </w:r>
      <w:r w:rsidR="00C5705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prognoza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obejmować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zerowego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="005B00F9" w:rsidRPr="00EB7EAA">
        <w:rPr>
          <w:i/>
          <w:iCs/>
          <w:szCs w:val="24"/>
        </w:rPr>
        <w:t>n</w:t>
      </w:r>
      <w:r w:rsidR="005B00F9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gdzie</w:t>
      </w:r>
      <w:r w:rsidR="00656606">
        <w:rPr>
          <w:szCs w:val="24"/>
        </w:rPr>
        <w:t xml:space="preserve"> </w:t>
      </w:r>
      <w:r w:rsidR="005B00F9" w:rsidRPr="00EB7EAA">
        <w:rPr>
          <w:i/>
          <w:iCs/>
          <w:szCs w:val="24"/>
        </w:rPr>
        <w:lastRenderedPageBreak/>
        <w:t>n</w:t>
      </w:r>
      <w:r w:rsidR="00656606">
        <w:rPr>
          <w:i/>
          <w:iCs/>
          <w:szCs w:val="24"/>
        </w:rPr>
        <w:t xml:space="preserve"> </w:t>
      </w:r>
      <w:r w:rsidR="005B00F9" w:rsidRPr="00EB7EAA">
        <w:rPr>
          <w:szCs w:val="24"/>
        </w:rPr>
        <w:t>oznacza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liczbę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lat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przyjętego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a</w:t>
      </w:r>
      <w:r w:rsidRPr="00EB7EAA">
        <w:rPr>
          <w:szCs w:val="24"/>
        </w:rPr>
        <w:t>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pomniejszoną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(patrz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dalej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Pr="00EB7EAA">
        <w:rPr>
          <w:szCs w:val="24"/>
        </w:rPr>
        <w:t>).</w:t>
      </w:r>
      <w:r w:rsidR="00656606">
        <w:rPr>
          <w:rFonts w:ascii="Arial" w:hAnsi="Arial" w:cs="Arial"/>
          <w:szCs w:val="24"/>
          <w:lang w:eastAsia="pl-PL"/>
        </w:rPr>
        <w:t xml:space="preserve"> </w:t>
      </w:r>
    </w:p>
    <w:p w14:paraId="1D612A70" w14:textId="77777777" w:rsidR="001F69F1" w:rsidRPr="00EB7EAA" w:rsidRDefault="001F69F1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Efekt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zewnętrzny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współfinansowany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trzecie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niezależnie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rekompensaty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pieniężnej.</w:t>
      </w:r>
      <w:r w:rsidR="00656606">
        <w:rPr>
          <w:szCs w:val="24"/>
        </w:rPr>
        <w:t xml:space="preserve"> </w:t>
      </w:r>
    </w:p>
    <w:p w14:paraId="33A5D5EB" w14:textId="77777777" w:rsidR="006A54DE" w:rsidRPr="00EB7EAA" w:rsidRDefault="001F69F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Teoria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wyróż</w:t>
      </w:r>
      <w:r w:rsidR="00C5705D" w:rsidRPr="00EB7EAA">
        <w:rPr>
          <w:sz w:val="24"/>
          <w:szCs w:val="24"/>
        </w:rPr>
        <w:t>nia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pieniężne,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powstające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pośrednictwem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mechanizmu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(inaczej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technologiczne)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zachodzące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mechanizmem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Przykładem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środowiskowe,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zanieczyszczenia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spalin.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transakcji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wycenianie,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swojej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rachunku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proofErr w:type="spellStart"/>
      <w:r w:rsidRPr="00EB7EAA">
        <w:rPr>
          <w:sz w:val="24"/>
          <w:szCs w:val="24"/>
        </w:rPr>
        <w:t>zmonetyzowane</w:t>
      </w:r>
      <w:proofErr w:type="spellEnd"/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zewnętrzne.</w:t>
      </w:r>
      <w:r w:rsidR="00656606">
        <w:rPr>
          <w:sz w:val="24"/>
          <w:szCs w:val="24"/>
        </w:rPr>
        <w:t xml:space="preserve"> </w:t>
      </w:r>
      <w:proofErr w:type="spellStart"/>
      <w:r w:rsidRPr="00EB7EAA">
        <w:rPr>
          <w:sz w:val="24"/>
          <w:szCs w:val="24"/>
        </w:rPr>
        <w:t>Monetyzacja</w:t>
      </w:r>
      <w:proofErr w:type="spellEnd"/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ściśle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pieniężnych.</w:t>
      </w:r>
      <w:r w:rsidR="00656606">
        <w:rPr>
          <w:sz w:val="24"/>
          <w:szCs w:val="24"/>
        </w:rPr>
        <w:t xml:space="preserve"> </w:t>
      </w:r>
    </w:p>
    <w:p w14:paraId="7C0C59EE" w14:textId="77777777" w:rsidR="006A54DE" w:rsidRPr="00EB7EAA" w:rsidRDefault="00DB1ABB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71C89">
        <w:rPr>
          <w:b/>
          <w:bCs/>
          <w:szCs w:val="24"/>
        </w:rPr>
        <w:t>EFRR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Europejski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Rozwoju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Regionalnego.</w:t>
      </w:r>
    </w:p>
    <w:p w14:paraId="00E2FD32" w14:textId="77777777" w:rsidR="006A54DE" w:rsidRPr="00EB7EAA" w:rsidRDefault="00E2083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EFSI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Europejskie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fundusze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strukturalne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przeznaczone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spójności,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rybołówstwa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FF763F">
        <w:rPr>
          <w:sz w:val="24"/>
          <w:szCs w:val="24"/>
        </w:rPr>
        <w:t> </w:t>
      </w:r>
      <w:r w:rsidRPr="00EB7EAA">
        <w:rPr>
          <w:sz w:val="24"/>
          <w:szCs w:val="24"/>
        </w:rPr>
        <w:t>perspektywie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2020.</w:t>
      </w:r>
    </w:p>
    <w:p w14:paraId="1F1812D9" w14:textId="77777777" w:rsidR="006A54DE" w:rsidRPr="00EB7EAA" w:rsidRDefault="00C8599B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Koszty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operacyjne</w:t>
      </w:r>
      <w:r w:rsidR="00656606">
        <w:rPr>
          <w:b/>
          <w:bCs/>
          <w:szCs w:val="24"/>
        </w:rPr>
        <w:t xml:space="preserve"> </w:t>
      </w:r>
      <w:r w:rsidR="003D74BF"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FF763F">
        <w:rPr>
          <w:szCs w:val="24"/>
        </w:rPr>
        <w:t> </w:t>
      </w:r>
      <w:r w:rsidRPr="00EB7EAA">
        <w:rPr>
          <w:szCs w:val="24"/>
        </w:rPr>
        <w:t>utrzymania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wynagrodzenia,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surowce,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elektryczność),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administracyjne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FF763F">
        <w:rPr>
          <w:szCs w:val="24"/>
        </w:rPr>
        <w:t> </w:t>
      </w:r>
      <w:r w:rsidRPr="00EB7EAA">
        <w:rPr>
          <w:szCs w:val="24"/>
        </w:rPr>
        <w:t>ogólne,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sprzedażą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dystrybucją.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pozycji,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powodują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rzeczywistego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nawet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zazwyczaj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wykazywane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bilansie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rachunku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zysków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zaliczać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amortyzacji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rezerw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nieprzewidziane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traktowane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odsetki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kredytów</w:t>
      </w:r>
      <w:r w:rsidRPr="00EB7EAA">
        <w:rPr>
          <w:rStyle w:val="Odwoanieprzypisudolnego"/>
          <w:szCs w:val="24"/>
        </w:rPr>
        <w:footnoteReference w:id="3"/>
      </w:r>
      <w:r w:rsidRPr="00EB7EAA">
        <w:rPr>
          <w:szCs w:val="24"/>
        </w:rPr>
        <w:t>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bezpośrednie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(m.in.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dochodowy)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wyłącznie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FF763F">
        <w:rPr>
          <w:szCs w:val="24"/>
        </w:rPr>
        <w:t> 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razem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500076">
        <w:rPr>
          <w:szCs w:val="24"/>
        </w:rPr>
        <w:t> </w:t>
      </w:r>
      <w:r w:rsidRPr="00EB7EAA">
        <w:rPr>
          <w:szCs w:val="24"/>
        </w:rPr>
        <w:t>elementami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użytkowania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krótszym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lastRenderedPageBreak/>
        <w:t>niż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(patrz: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odtworzeniowych).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typów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spowodować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stosunku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scenariusza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61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(operacji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dochód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ukończeniu</w:t>
      </w:r>
      <w:r w:rsidR="00390139" w:rsidRPr="00EB7EAA">
        <w:rPr>
          <w:szCs w:val="24"/>
        </w:rPr>
        <w:t>),</w:t>
      </w:r>
      <w:r w:rsidR="00656606">
        <w:rPr>
          <w:i/>
          <w:iCs/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chyba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nastąpi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równoważne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zmniejszenie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dotychczas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otrzymywanych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publicznych,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działalność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operacyjną</w:t>
      </w:r>
      <w:r w:rsidRPr="00EB7EAA">
        <w:rPr>
          <w:rStyle w:val="Odwoanieprzypisudolnego"/>
          <w:szCs w:val="24"/>
        </w:rPr>
        <w:footnoteReference w:id="4"/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pominięta</w:t>
      </w:r>
      <w:r w:rsidR="00F4209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szczegółowy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mechanizm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wysokości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otrzymywanej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obniżeniu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pominąć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tylko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wysokości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obniżenia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dotacji.</w:t>
      </w:r>
    </w:p>
    <w:p w14:paraId="7997E4B3" w14:textId="77777777" w:rsidR="006A54DE" w:rsidRPr="00EB7EAA" w:rsidRDefault="003D74B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Nakłady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na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realizację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(koszty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inwestycja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początkowa)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oddania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powstałego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majątku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użytkowania.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niematerialne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projektowej,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doradztwo)</w:t>
      </w:r>
      <w:r w:rsidRPr="00EB7EAA">
        <w:rPr>
          <w:rStyle w:val="Odwoanieprzypisudolnego"/>
          <w:sz w:val="24"/>
          <w:szCs w:val="24"/>
        </w:rPr>
        <w:footnoteReference w:id="5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(bez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ewentualnych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rezerw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nieprzewidziane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500076">
        <w:rPr>
          <w:sz w:val="24"/>
          <w:szCs w:val="24"/>
        </w:rPr>
        <w:t> 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(ang.</w:t>
      </w:r>
      <w:r w:rsidR="00656606">
        <w:rPr>
          <w:sz w:val="24"/>
          <w:szCs w:val="24"/>
        </w:rPr>
        <w:t xml:space="preserve"> </w:t>
      </w:r>
      <w:proofErr w:type="spellStart"/>
      <w:r w:rsidRPr="00EB7EAA">
        <w:rPr>
          <w:i/>
          <w:iCs/>
          <w:sz w:val="24"/>
          <w:szCs w:val="24"/>
        </w:rPr>
        <w:t>Discounted</w:t>
      </w:r>
      <w:proofErr w:type="spellEnd"/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Investment</w:t>
      </w:r>
      <w:r w:rsidR="00656606">
        <w:rPr>
          <w:i/>
          <w:iCs/>
          <w:sz w:val="24"/>
          <w:szCs w:val="24"/>
        </w:rPr>
        <w:t xml:space="preserve"> </w:t>
      </w:r>
      <w:proofErr w:type="spellStart"/>
      <w:r w:rsidRPr="00EB7EAA">
        <w:rPr>
          <w:i/>
          <w:iCs/>
          <w:sz w:val="24"/>
          <w:szCs w:val="24"/>
        </w:rPr>
        <w:t>Cost</w:t>
      </w:r>
      <w:proofErr w:type="spellEnd"/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–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sz w:val="24"/>
          <w:szCs w:val="24"/>
        </w:rPr>
        <w:t>DIC).</w:t>
      </w:r>
      <w:r w:rsidR="00656606">
        <w:rPr>
          <w:sz w:val="24"/>
          <w:szCs w:val="24"/>
        </w:rPr>
        <w:t xml:space="preserve"> </w:t>
      </w:r>
    </w:p>
    <w:p w14:paraId="532D9283" w14:textId="77777777" w:rsidR="006A54DE" w:rsidRPr="00EB7EAA" w:rsidRDefault="003D74BF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Nakłady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odtworzeniowe</w:t>
      </w:r>
      <w:r w:rsidR="00656606">
        <w:rPr>
          <w:b/>
          <w:bCs/>
          <w:szCs w:val="24"/>
        </w:rPr>
        <w:t xml:space="preserve"> </w:t>
      </w:r>
      <w:r w:rsidR="00B24B32"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przeznaczone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niezbędne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elementów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użytkowania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mieć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niezbędny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</w:t>
      </w:r>
      <w:r w:rsidR="00B24B32" w:rsidRPr="00EB7EAA">
        <w:rPr>
          <w:szCs w:val="24"/>
        </w:rPr>
        <w:t>resie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odniesienia.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P</w:t>
      </w:r>
      <w:r w:rsidRPr="00EB7EAA">
        <w:rPr>
          <w:szCs w:val="24"/>
        </w:rPr>
        <w:t>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ujmowane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razem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operacyjnymi,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brane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(DNR),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</w:t>
      </w:r>
      <w:r w:rsidR="00B24B32" w:rsidRPr="00EB7EAA">
        <w:rPr>
          <w:szCs w:val="24"/>
        </w:rPr>
        <w:t>nych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(DIC)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Wnioskodawca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szczegółowo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</w:p>
    <w:p w14:paraId="165A87FB" w14:textId="77777777" w:rsidR="00B24B32" w:rsidRPr="00EB7EAA" w:rsidRDefault="003D74B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lastRenderedPageBreak/>
        <w:t>Okres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odniesienia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(horyzont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czasowy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inwestycji)</w:t>
      </w:r>
      <w:r w:rsidR="00656606">
        <w:rPr>
          <w:b/>
          <w:bCs/>
          <w:sz w:val="24"/>
          <w:szCs w:val="24"/>
        </w:rPr>
        <w:t xml:space="preserve"> </w:t>
      </w:r>
      <w:r w:rsidR="00B24B32"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okres,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prognozę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operacyjną.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234827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zalecane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Komisję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Europejską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referencyjne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okresy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odniesienia.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Wymiar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okresu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odniesienia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taki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sam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anal</w:t>
      </w:r>
      <w:r w:rsidR="00F4209C" w:rsidRPr="00EB7EAA">
        <w:rPr>
          <w:sz w:val="24"/>
          <w:szCs w:val="24"/>
        </w:rPr>
        <w:t>izie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ekonomicznej.</w:t>
      </w:r>
      <w:r w:rsidR="00656606">
        <w:rPr>
          <w:sz w:val="24"/>
          <w:szCs w:val="24"/>
        </w:rPr>
        <w:t xml:space="preserve"> </w:t>
      </w:r>
    </w:p>
    <w:p w14:paraId="2A1F5A3D" w14:textId="77777777" w:rsidR="006A54DE" w:rsidRPr="00EB7EAA" w:rsidRDefault="00B24B32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Rokiem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bazowym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robót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budowlanych).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Wyjątkiem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rozpoczęta.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bazowym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dofinansowanie.</w:t>
      </w:r>
    </w:p>
    <w:p w14:paraId="0FD59687" w14:textId="77777777" w:rsidR="006A54DE" w:rsidRPr="00EB7EAA" w:rsidRDefault="00C82926" w:rsidP="00234827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Projekt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przedsięwzięcie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F4209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osiągnięcia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założonego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wskaźnikami,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posiadające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początek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zgłoszone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albo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współfinansowaniem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EFSI.</w:t>
      </w:r>
      <w:r w:rsidR="00656606">
        <w:rPr>
          <w:szCs w:val="24"/>
        </w:rPr>
        <w:t xml:space="preserve"> </w:t>
      </w:r>
    </w:p>
    <w:p w14:paraId="0FFC6DA5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generujące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dochód</w:t>
      </w:r>
      <w:r w:rsidR="00147BB0" w:rsidRPr="00EB7EAA">
        <w:rPr>
          <w:rStyle w:val="Odwoanieprzypisudolnego"/>
          <w:b/>
          <w:bCs/>
          <w:sz w:val="24"/>
          <w:szCs w:val="24"/>
        </w:rPr>
        <w:footnoteReference w:id="6"/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</w:t>
      </w:r>
      <w:r w:rsidR="000E303D" w:rsidRPr="00EB7EAA">
        <w:rPr>
          <w:sz w:val="24"/>
          <w:szCs w:val="24"/>
        </w:rPr>
        <w:t>dnie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7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(punkty</w:t>
      </w:r>
      <w:r w:rsidR="00656606">
        <w:rPr>
          <w:sz w:val="24"/>
          <w:szCs w:val="24"/>
        </w:rPr>
        <w:t xml:space="preserve"> </w:t>
      </w:r>
      <w:r w:rsidR="00234827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="00234827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h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</w:t>
      </w:r>
      <w:r w:rsidR="000E303D" w:rsidRPr="00EB7EAA">
        <w:rPr>
          <w:sz w:val="24"/>
          <w:szCs w:val="24"/>
        </w:rPr>
        <w:t>j)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8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(punkt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i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poniżej)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do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kategorii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projektów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generujących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dochód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nie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zalicza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się:</w:t>
      </w:r>
      <w:r w:rsidR="00656606">
        <w:rPr>
          <w:bCs/>
          <w:sz w:val="24"/>
          <w:szCs w:val="24"/>
        </w:rPr>
        <w:t xml:space="preserve"> </w:t>
      </w:r>
    </w:p>
    <w:p w14:paraId="62071A0C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wyłącznie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Społecznego;</w:t>
      </w:r>
      <w:r w:rsidR="00656606">
        <w:rPr>
          <w:sz w:val="24"/>
          <w:szCs w:val="24"/>
        </w:rPr>
        <w:t xml:space="preserve"> </w:t>
      </w:r>
    </w:p>
    <w:p w14:paraId="457F26A9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EUR;</w:t>
      </w:r>
      <w:r w:rsidR="00656606">
        <w:rPr>
          <w:sz w:val="24"/>
          <w:szCs w:val="24"/>
        </w:rPr>
        <w:t xml:space="preserve"> </w:t>
      </w:r>
    </w:p>
    <w:p w14:paraId="39FAF53D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udzielonej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nagród;</w:t>
      </w:r>
      <w:r w:rsidR="00656606">
        <w:rPr>
          <w:sz w:val="24"/>
          <w:szCs w:val="24"/>
        </w:rPr>
        <w:t xml:space="preserve"> </w:t>
      </w:r>
    </w:p>
    <w:p w14:paraId="6B9F08D0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technicznej;</w:t>
      </w:r>
      <w:r w:rsidR="00656606">
        <w:rPr>
          <w:sz w:val="24"/>
          <w:szCs w:val="24"/>
        </w:rPr>
        <w:t xml:space="preserve"> </w:t>
      </w:r>
    </w:p>
    <w:p w14:paraId="4F2203BB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wparcia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udzielanego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instrumentom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instrumenty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finansowe;</w:t>
      </w:r>
      <w:r w:rsidR="00656606">
        <w:rPr>
          <w:sz w:val="24"/>
          <w:szCs w:val="24"/>
        </w:rPr>
        <w:t xml:space="preserve"> </w:t>
      </w:r>
    </w:p>
    <w:p w14:paraId="66F5F3A0" w14:textId="77777777"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f)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ryczałtowych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standardowych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jednostkowych;</w:t>
      </w:r>
      <w:r w:rsidR="00656606">
        <w:rPr>
          <w:sz w:val="24"/>
          <w:szCs w:val="24"/>
        </w:rPr>
        <w:t xml:space="preserve"> </w:t>
      </w:r>
    </w:p>
    <w:p w14:paraId="0490210A" w14:textId="77777777" w:rsidR="00D21C28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g)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</w:t>
      </w:r>
    </w:p>
    <w:p w14:paraId="28501CEE" w14:textId="77777777"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EFRROW</w:t>
      </w:r>
      <w:r w:rsidRPr="00EB7EAA">
        <w:rPr>
          <w:sz w:val="24"/>
          <w:szCs w:val="24"/>
        </w:rPr>
        <w:t>;</w:t>
      </w:r>
      <w:r w:rsidR="00656606">
        <w:rPr>
          <w:sz w:val="24"/>
          <w:szCs w:val="24"/>
        </w:rPr>
        <w:t xml:space="preserve"> </w:t>
      </w:r>
    </w:p>
    <w:p w14:paraId="247294F4" w14:textId="77777777"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stanowi:</w:t>
      </w:r>
      <w:r w:rsidR="00656606">
        <w:rPr>
          <w:sz w:val="24"/>
          <w:szCs w:val="24"/>
        </w:rPr>
        <w:t xml:space="preserve"> </w:t>
      </w:r>
    </w:p>
    <w:p w14:paraId="5AC91AD9" w14:textId="77777777"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i/>
          <w:iCs/>
          <w:sz w:val="24"/>
          <w:szCs w:val="24"/>
        </w:rPr>
        <w:t>de</w:t>
      </w:r>
      <w:r>
        <w:rPr>
          <w:i/>
          <w:iCs/>
          <w:sz w:val="24"/>
          <w:szCs w:val="24"/>
        </w:rPr>
        <w:t xml:space="preserve"> </w:t>
      </w:r>
      <w:proofErr w:type="spellStart"/>
      <w:r w:rsidR="00D45F09" w:rsidRPr="00EB7EAA">
        <w:rPr>
          <w:i/>
          <w:iCs/>
          <w:sz w:val="24"/>
          <w:szCs w:val="24"/>
        </w:rPr>
        <w:t>minimis</w:t>
      </w:r>
      <w:proofErr w:type="spellEnd"/>
      <w:r w:rsidR="00D45F09" w:rsidRPr="00EB7EAA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</w:t>
      </w:r>
    </w:p>
    <w:p w14:paraId="7017D83C" w14:textId="77777777"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415E30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rynkiem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wewnętrznym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dla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MŚP,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gdy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stosuje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limit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</w:t>
      </w:r>
      <w:r w:rsidR="00A76D64">
        <w:rPr>
          <w:sz w:val="24"/>
          <w:szCs w:val="24"/>
        </w:rPr>
        <w:t> </w:t>
      </w:r>
      <w:r w:rsidR="00D45F09" w:rsidRPr="00EB7EAA">
        <w:rPr>
          <w:sz w:val="24"/>
          <w:szCs w:val="24"/>
        </w:rPr>
        <w:t>zakresie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dopuszczalnej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intensywności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kwoty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państwa;</w:t>
      </w:r>
      <w:r>
        <w:rPr>
          <w:sz w:val="24"/>
          <w:szCs w:val="24"/>
        </w:rPr>
        <w:t xml:space="preserve"> </w:t>
      </w:r>
    </w:p>
    <w:p w14:paraId="5DCF7B18" w14:textId="77777777"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15E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rynkiem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wewnętrznym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państwa,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gdy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przeprowadzono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indywidualną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weryfikację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potrzeb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zakresie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finansowania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mającymi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zastosowanie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przepisami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dotyczącymi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państwa.</w:t>
      </w:r>
      <w:r>
        <w:rPr>
          <w:sz w:val="24"/>
          <w:szCs w:val="24"/>
        </w:rPr>
        <w:t xml:space="preserve"> </w:t>
      </w:r>
    </w:p>
    <w:p w14:paraId="7BB226F3" w14:textId="77777777"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A76D64">
        <w:rPr>
          <w:sz w:val="24"/>
          <w:szCs w:val="24"/>
        </w:rPr>
        <w:t> </w:t>
      </w:r>
      <w:r w:rsidR="0073541E" w:rsidRPr="00EB7EAA">
        <w:rPr>
          <w:sz w:val="24"/>
          <w:szCs w:val="24"/>
        </w:rPr>
        <w:t>przypadku,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krajowe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stanowią.</w:t>
      </w:r>
      <w:r w:rsidR="00656606">
        <w:rPr>
          <w:sz w:val="24"/>
          <w:szCs w:val="24"/>
        </w:rPr>
        <w:t xml:space="preserve"> </w:t>
      </w:r>
    </w:p>
    <w:p w14:paraId="7C8D334E" w14:textId="77777777"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A76D64">
        <w:rPr>
          <w:sz w:val="24"/>
          <w:szCs w:val="24"/>
        </w:rPr>
        <w:t> </w:t>
      </w:r>
      <w:r w:rsidRPr="00EB7EAA">
        <w:rPr>
          <w:sz w:val="24"/>
          <w:szCs w:val="24"/>
        </w:rPr>
        <w:t>000</w:t>
      </w:r>
      <w:r w:rsidR="00A76D64">
        <w:rPr>
          <w:sz w:val="24"/>
          <w:szCs w:val="24"/>
        </w:rPr>
        <w:t> 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arytmetyczną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Narodowego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Polskiego,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ostatnich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sześciu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poprzedzających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Pr="00EB7EAA">
        <w:rPr>
          <w:rStyle w:val="Odwoanieprzypisudolnego"/>
          <w:sz w:val="24"/>
          <w:szCs w:val="24"/>
        </w:rPr>
        <w:footnoteReference w:id="7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14:paraId="4FF6416E" w14:textId="77777777"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projektowych.</w:t>
      </w:r>
      <w:r w:rsidR="00656606">
        <w:rPr>
          <w:sz w:val="24"/>
          <w:szCs w:val="24"/>
        </w:rPr>
        <w:t xml:space="preserve"> </w:t>
      </w:r>
    </w:p>
    <w:p w14:paraId="3538E9CF" w14:textId="77777777" w:rsidR="00A75E47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wyróżniono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dwie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kategorie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projektów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generujących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dochód</w:t>
      </w:r>
      <w:r w:rsidRPr="00EB7EAA">
        <w:rPr>
          <w:sz w:val="24"/>
          <w:szCs w:val="24"/>
        </w:rPr>
        <w:t>:</w:t>
      </w:r>
      <w:r w:rsidR="00656606">
        <w:rPr>
          <w:sz w:val="24"/>
          <w:szCs w:val="24"/>
        </w:rPr>
        <w:t xml:space="preserve"> </w:t>
      </w:r>
    </w:p>
    <w:p w14:paraId="636E83A9" w14:textId="77777777" w:rsidR="00D45F09" w:rsidRPr="00EB7EAA" w:rsidRDefault="00D45F09" w:rsidP="00265A33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dla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których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istnieje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możliwość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obiektywnego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określenia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przychodu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</w:t>
      </w:r>
      <w:r w:rsidR="00A76D64">
        <w:rPr>
          <w:b/>
          <w:bCs/>
          <w:sz w:val="24"/>
          <w:szCs w:val="24"/>
        </w:rPr>
        <w:t> </w:t>
      </w:r>
      <w:r w:rsidRPr="00EB7EAA">
        <w:rPr>
          <w:b/>
          <w:bCs/>
          <w:sz w:val="24"/>
          <w:szCs w:val="24"/>
        </w:rPr>
        <w:t>wyprzedzeniem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(art.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61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ust.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1</w:t>
      </w:r>
      <w:r w:rsidR="00656606">
        <w:rPr>
          <w:b/>
          <w:bCs/>
          <w:sz w:val="24"/>
          <w:szCs w:val="24"/>
        </w:rPr>
        <w:t xml:space="preserve"> </w:t>
      </w:r>
      <w:r w:rsidR="00415E30">
        <w:rPr>
          <w:b/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5)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wystarczające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doświadczenie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umożliwiające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dwóch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tzn.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dobra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dostarczane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udostępnienie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wspólnotowego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typu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  <w:r w:rsidR="00656606">
        <w:rPr>
          <w:sz w:val="24"/>
          <w:szCs w:val="24"/>
        </w:rPr>
        <w:t xml:space="preserve"> </w:t>
      </w:r>
    </w:p>
    <w:p w14:paraId="21BDE5F4" w14:textId="77777777" w:rsidR="00D45F09" w:rsidRPr="00EB7EAA" w:rsidRDefault="00D45F09" w:rsidP="00265A33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dla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których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nie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można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obiektywnie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określić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przychodu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</w:t>
      </w:r>
      <w:r w:rsidR="00F739F0">
        <w:rPr>
          <w:b/>
          <w:bCs/>
          <w:sz w:val="24"/>
          <w:szCs w:val="24"/>
        </w:rPr>
        <w:t> </w:t>
      </w:r>
      <w:r w:rsidRPr="00EB7EAA">
        <w:rPr>
          <w:b/>
          <w:bCs/>
          <w:sz w:val="24"/>
          <w:szCs w:val="24"/>
        </w:rPr>
        <w:t>wyprzedzeniem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(art.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61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ust.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6)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wnioskodawcy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wnioskodawca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traktować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potencjalnie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moni</w:t>
      </w:r>
      <w:r w:rsidR="00F4209C" w:rsidRPr="00EB7EAA">
        <w:rPr>
          <w:sz w:val="24"/>
          <w:szCs w:val="24"/>
        </w:rPr>
        <w:t>torowaniem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generowanego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dochodu.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przyczyną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uniemożliwiającą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</w:t>
      </w:r>
      <w:r w:rsidRPr="00EB7EAA">
        <w:rPr>
          <w:i/>
          <w:iCs/>
          <w:sz w:val="24"/>
          <w:szCs w:val="24"/>
        </w:rPr>
        <w:t>ex</w:t>
      </w:r>
      <w:r w:rsidR="00656606">
        <w:rPr>
          <w:i/>
          <w:iCs/>
          <w:sz w:val="24"/>
          <w:szCs w:val="24"/>
        </w:rPr>
        <w:t xml:space="preserve"> </w:t>
      </w:r>
      <w:proofErr w:type="spellStart"/>
      <w:r w:rsidRPr="00EB7EAA">
        <w:rPr>
          <w:i/>
          <w:iCs/>
          <w:sz w:val="24"/>
          <w:szCs w:val="24"/>
        </w:rPr>
        <w:t>ante</w:t>
      </w:r>
      <w:proofErr w:type="spellEnd"/>
      <w:r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najczęściej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innowacyjny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pociągający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sobą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doświadczenia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pozwoliłyby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wiarygodne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dobra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dostarczane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(popyt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innowację).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priorytetu/działania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122A33">
        <w:rPr>
          <w:sz w:val="24"/>
          <w:szCs w:val="24"/>
        </w:rPr>
        <w:t> 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="003F258C" w:rsidRPr="00EB7EAA">
        <w:rPr>
          <w:rStyle w:val="Odwoanieprzypisudolnego"/>
          <w:sz w:val="24"/>
          <w:szCs w:val="24"/>
        </w:rPr>
        <w:footnoteReference w:id="8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122A33">
        <w:rPr>
          <w:sz w:val="24"/>
          <w:szCs w:val="24"/>
        </w:rPr>
        <w:t> 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odliczany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deklarowanych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Komisji.</w:t>
      </w:r>
    </w:p>
    <w:p w14:paraId="0D2B8947" w14:textId="77777777" w:rsidR="006A54DE" w:rsidRPr="00EB7EAA" w:rsidRDefault="00D45F09" w:rsidP="00333CD6">
      <w:pPr>
        <w:pStyle w:val="Bezodstpw"/>
        <w:spacing w:line="276" w:lineRule="auto"/>
        <w:ind w:left="708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zalicza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podsektorów,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</w:p>
    <w:p w14:paraId="5A3E0EC8" w14:textId="77777777" w:rsidR="008B3111" w:rsidRPr="00EB7EAA" w:rsidRDefault="003F258C" w:rsidP="00EB7EAA">
      <w:pPr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Projekt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hybrydowy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wspólna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partnerstwo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publiczno</w:t>
      </w:r>
      <w:r w:rsidR="00122A33">
        <w:rPr>
          <w:rFonts w:eastAsia="Times New Roman"/>
          <w:bCs/>
          <w:kern w:val="32"/>
          <w:szCs w:val="24"/>
        </w:rPr>
        <w:t>-</w:t>
      </w:r>
      <w:r w:rsidRPr="00EB7EAA">
        <w:rPr>
          <w:rFonts w:eastAsia="Times New Roman"/>
          <w:bCs/>
          <w:kern w:val="32"/>
          <w:szCs w:val="24"/>
        </w:rPr>
        <w:t>prywatne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rozumieniu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</w:t>
      </w:r>
      <w:r w:rsidR="008B3111" w:rsidRPr="00EB7EAA">
        <w:rPr>
          <w:rFonts w:eastAsia="Times New Roman"/>
          <w:bCs/>
          <w:kern w:val="32"/>
          <w:szCs w:val="24"/>
        </w:rPr>
        <w:t>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1303/2013</w:t>
      </w:r>
      <w:r w:rsidRPr="00EB7EAA">
        <w:rPr>
          <w:rFonts w:eastAsia="Times New Roman"/>
          <w:bCs/>
          <w:kern w:val="32"/>
          <w:szCs w:val="24"/>
        </w:rPr>
        <w:t>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utworzone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infrastrukturalnej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34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wdrożeniowej).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przypadku,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34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wdrożeniowej,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pojęcie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inwestycji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infrastrukturalnej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należy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definiować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budowę,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przebudowę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remont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obiektu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budowlanego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wyposażenie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składnika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majątkowego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podwyższające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użyteczność,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połączone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utrzymaniem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zarządzaniem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przedmiotem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wynagrodzeniem.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19C9EC05" w14:textId="77777777" w:rsidR="006A54DE" w:rsidRPr="00EB7EAA" w:rsidRDefault="00DB1ABB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proofErr w:type="spellStart"/>
      <w:r w:rsidRPr="00EB7EAA">
        <w:rPr>
          <w:rFonts w:eastAsia="Times New Roman"/>
          <w:b/>
          <w:bCs/>
          <w:kern w:val="32"/>
          <w:szCs w:val="24"/>
          <w:lang w:val="en-US"/>
        </w:rPr>
        <w:t>Przewodnik</w:t>
      </w:r>
      <w:proofErr w:type="spellEnd"/>
      <w:r w:rsidR="00656606">
        <w:rPr>
          <w:rFonts w:eastAsia="Times New Roman"/>
          <w:b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/>
          <w:bCs/>
          <w:kern w:val="32"/>
          <w:szCs w:val="24"/>
          <w:lang w:val="en-US"/>
        </w:rPr>
        <w:t>AKK</w:t>
      </w:r>
      <w:r w:rsidR="00656606">
        <w:rPr>
          <w:rFonts w:eastAsia="Times New Roman"/>
          <w:b/>
          <w:bCs/>
          <w:kern w:val="32"/>
          <w:szCs w:val="24"/>
          <w:lang w:val="en-US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  <w:lang w:val="en-US"/>
        </w:rPr>
        <w:t>–</w:t>
      </w:r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Guide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to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cost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  <w:lang w:val="en-US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benefit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Analysis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of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Investment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Projects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  <w:lang w:val="en-US"/>
        </w:rPr>
        <w:t>(z</w:t>
      </w:r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proofErr w:type="spellStart"/>
      <w:r w:rsidR="003F258C" w:rsidRPr="00EB7EAA">
        <w:rPr>
          <w:rFonts w:eastAsia="Times New Roman"/>
          <w:bCs/>
          <w:kern w:val="32"/>
          <w:szCs w:val="24"/>
          <w:lang w:val="en-US"/>
        </w:rPr>
        <w:t>ang.</w:t>
      </w:r>
      <w:proofErr w:type="spellEnd"/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Przewodnik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do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analizy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kosztów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i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korzyści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projektów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inwestycyjnych)</w:t>
      </w:r>
      <w:r w:rsidR="003F258C" w:rsidRPr="00EB7EAA">
        <w:rPr>
          <w:rFonts w:eastAsia="Times New Roman"/>
          <w:bCs/>
          <w:kern w:val="32"/>
          <w:szCs w:val="24"/>
        </w:rPr>
        <w:t>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Komisja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Europejska,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grudzień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8B3111" w:rsidRPr="00EB7EAA">
        <w:rPr>
          <w:rFonts w:cs="Calibri,Italic"/>
          <w:iCs/>
          <w:szCs w:val="24"/>
        </w:rPr>
        <w:t>(</w:t>
      </w:r>
      <w:r w:rsidR="008B3111" w:rsidRPr="00EB7EAA">
        <w:rPr>
          <w:rFonts w:cs="Calibri,Italic"/>
          <w:bCs/>
          <w:iCs/>
          <w:szCs w:val="24"/>
        </w:rPr>
        <w:t>Robocze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tłumaczenie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na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język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polski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lipiec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2015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r.);</w:t>
      </w:r>
      <w:r w:rsidR="00656606">
        <w:rPr>
          <w:rFonts w:cs="Calibri,Italic"/>
          <w:bCs/>
          <w:iCs/>
          <w:szCs w:val="24"/>
        </w:rPr>
        <w:t xml:space="preserve"> </w:t>
      </w:r>
    </w:p>
    <w:p w14:paraId="72703BBA" w14:textId="77777777" w:rsidR="006A54DE" w:rsidRPr="00EB7EAA" w:rsidRDefault="003F258C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Przychód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środków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bezpośrednich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wpłat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dokonywanych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towary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zapewniane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operację,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opłaty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ponoszone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bezpośrednio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użytkowanie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sprzedaż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dzierżawę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gruntu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budynków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opłaty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usługi.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Przychodem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więc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dotacje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operacyjne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refundacje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ulg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ustawowych.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56B04C73" w14:textId="77777777" w:rsidR="006A54DE" w:rsidRPr="00EB7EAA" w:rsidRDefault="00F8319D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iCs/>
          <w:szCs w:val="24"/>
        </w:rPr>
        <w:t>Rozporządzenie</w:t>
      </w:r>
      <w:r w:rsidR="00656606">
        <w:rPr>
          <w:rFonts w:cs="Calibri,Italic"/>
          <w:b/>
          <w:iCs/>
          <w:szCs w:val="24"/>
        </w:rPr>
        <w:t xml:space="preserve"> </w:t>
      </w:r>
      <w:r w:rsidR="00543693" w:rsidRPr="00EB7EAA">
        <w:rPr>
          <w:rFonts w:cs="Calibri,Italic"/>
          <w:b/>
          <w:iCs/>
          <w:szCs w:val="24"/>
        </w:rPr>
        <w:t>nr</w:t>
      </w:r>
      <w:r w:rsidR="00656606">
        <w:rPr>
          <w:rFonts w:cs="Calibri,Italic"/>
          <w:b/>
          <w:iCs/>
          <w:szCs w:val="24"/>
        </w:rPr>
        <w:t xml:space="preserve"> </w:t>
      </w:r>
      <w:r w:rsidR="00543693" w:rsidRPr="00EB7EAA">
        <w:rPr>
          <w:rFonts w:cs="Calibri,Italic"/>
          <w:b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Parlamentu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(UE)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dnia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17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grudnia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ustanawiające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wspólne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przepisy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dotyczące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Regionalnego,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Społecznego,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Spójności,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Rolnego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rzecz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Obszarów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Wiejskich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Morskiego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Rybackiego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ustanawiające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przepisy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ogólne</w:t>
      </w:r>
      <w:r w:rsidR="00F4209C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dotyczące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Regionalnego,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Społecznego,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Spójności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Morskiego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Rybackiego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uchylające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rozporz</w:t>
      </w:r>
      <w:r w:rsidRPr="00EB7EAA">
        <w:rPr>
          <w:rFonts w:cs="Calibri,Italic"/>
          <w:iCs/>
          <w:szCs w:val="24"/>
        </w:rPr>
        <w:t>ądzenie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(WE)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1083/2006</w:t>
      </w:r>
      <w:r w:rsidR="0065660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7EAA">
        <w:rPr>
          <w:rFonts w:ascii="Arial" w:hAnsi="Arial" w:cs="Arial"/>
          <w:sz w:val="20"/>
          <w:szCs w:val="20"/>
          <w:lang w:eastAsia="pl-PL"/>
        </w:rPr>
        <w:t>(</w:t>
      </w:r>
      <w:r w:rsidRPr="00EB7EAA">
        <w:rPr>
          <w:rFonts w:cs="Calibri,Italic"/>
          <w:iCs/>
          <w:szCs w:val="24"/>
        </w:rPr>
        <w:t>Dziennik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Urzędowy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Europejskiej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20.12.2013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r.,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347/320).</w:t>
      </w:r>
      <w:r w:rsidR="00656606">
        <w:rPr>
          <w:rFonts w:cs="Calibri,Italic"/>
          <w:iCs/>
          <w:szCs w:val="24"/>
        </w:rPr>
        <w:t xml:space="preserve"> </w:t>
      </w:r>
    </w:p>
    <w:p w14:paraId="4471B79C" w14:textId="77777777" w:rsidR="00FE717E" w:rsidRPr="00EB7EAA" w:rsidRDefault="00FE717E" w:rsidP="00EB7EAA">
      <w:pPr>
        <w:jc w:val="both"/>
        <w:rPr>
          <w:rFonts w:cs="Arial"/>
          <w:szCs w:val="24"/>
        </w:rPr>
      </w:pPr>
      <w:r w:rsidRPr="00EB7EAA">
        <w:rPr>
          <w:b/>
          <w:szCs w:val="24"/>
        </w:rPr>
        <w:t>Rozporządzenie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ogólne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sprawie</w:t>
      </w:r>
      <w:r w:rsidR="00656606">
        <w:rPr>
          <w:b/>
          <w:szCs w:val="24"/>
        </w:rPr>
        <w:t xml:space="preserve"> </w:t>
      </w:r>
      <w:proofErr w:type="spellStart"/>
      <w:r w:rsidRPr="00EB7EAA">
        <w:rPr>
          <w:b/>
          <w:szCs w:val="24"/>
        </w:rPr>
        <w:t>wyłączeń</w:t>
      </w:r>
      <w:proofErr w:type="spellEnd"/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blokowych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rFonts w:cs="Arial"/>
          <w:b/>
          <w:i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Rozporządzenie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Komisji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(UE)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nr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651/2014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dnia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17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czerwca</w:t>
      </w:r>
      <w:r w:rsidR="00656606">
        <w:rPr>
          <w:rFonts w:cs="Arial"/>
          <w:szCs w:val="24"/>
        </w:rPr>
        <w:t xml:space="preserve"> </w:t>
      </w:r>
      <w:r w:rsidRPr="00EB7EAA">
        <w:rPr>
          <w:rFonts w:cs="Arial"/>
          <w:iCs/>
          <w:szCs w:val="24"/>
        </w:rPr>
        <w:t>2014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r.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uznającego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niektóre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rodzaje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pomocy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za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zgodne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lastRenderedPageBreak/>
        <w:t>z</w:t>
      </w:r>
      <w:r w:rsidR="00CB6F44">
        <w:rPr>
          <w:rFonts w:cs="Arial"/>
          <w:iCs/>
          <w:szCs w:val="24"/>
        </w:rPr>
        <w:t> </w:t>
      </w:r>
      <w:r w:rsidRPr="00EB7EAA">
        <w:rPr>
          <w:rFonts w:cs="Arial"/>
          <w:iCs/>
          <w:szCs w:val="24"/>
        </w:rPr>
        <w:t>rynkiem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wewnętrznym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w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zastosowaniu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art.</w:t>
      </w:r>
      <w:r w:rsidR="00656606">
        <w:rPr>
          <w:rFonts w:cs="Arial"/>
          <w:szCs w:val="24"/>
        </w:rPr>
        <w:t xml:space="preserve"> </w:t>
      </w:r>
      <w:r w:rsidRPr="00EB7EAA">
        <w:rPr>
          <w:rFonts w:cs="Arial"/>
          <w:iCs/>
          <w:szCs w:val="24"/>
        </w:rPr>
        <w:t>107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i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108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Traktatu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szCs w:val="24"/>
          <w:lang w:eastAsia="pl-PL"/>
        </w:rPr>
        <w:t>(</w:t>
      </w:r>
      <w:r w:rsidRPr="00EB7EAA">
        <w:rPr>
          <w:szCs w:val="24"/>
        </w:rPr>
        <w:t>Dz.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Urz.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187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26.06.2014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r.)</w:t>
      </w:r>
      <w:r w:rsidR="00933D17" w:rsidRPr="00EB7EAA">
        <w:rPr>
          <w:szCs w:val="24"/>
        </w:rPr>
        <w:t>.</w:t>
      </w:r>
    </w:p>
    <w:p w14:paraId="599DC1B9" w14:textId="77777777" w:rsidR="006A54DE" w:rsidRPr="00EB7EAA" w:rsidRDefault="000010D7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RPOWŚ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2014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2020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Regionalny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Program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Operacyjny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Województwa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Świętokrzyskiego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lata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2020.</w:t>
      </w:r>
      <w:r w:rsidR="00656606">
        <w:rPr>
          <w:rFonts w:cs="Calibri,Italic"/>
          <w:bCs/>
          <w:iCs/>
          <w:szCs w:val="24"/>
        </w:rPr>
        <w:t xml:space="preserve"> </w:t>
      </w:r>
    </w:p>
    <w:p w14:paraId="141DBF2F" w14:textId="77777777" w:rsidR="006A54DE" w:rsidRPr="00EB7EAA" w:rsidRDefault="003F258C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Różnicowy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model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finansowy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model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sporządzany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zestawia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sobą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scenariusza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„podmiot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działalność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gospodarcza)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projektem”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scenariusza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„podmiot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działalność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gospodarcza)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projektu”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porównanie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różnicowe,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stanowiące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podstawę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m.in.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idzie,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dofinansowania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543C33E8" w14:textId="77777777" w:rsidR="006A54DE" w:rsidRPr="00EB7EAA" w:rsidRDefault="008B3111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Skorygowany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całkowity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koszt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kwalifikowalny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projektu/inwestycji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(ECR)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61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1303/2013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całkowity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kwalifikowalny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pomniejszony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jedną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zasad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</w:t>
      </w:r>
      <w:r w:rsidR="007754E4" w:rsidRPr="00EB7EAA">
        <w:rPr>
          <w:rFonts w:eastAsia="Times New Roman"/>
          <w:bCs/>
          <w:kern w:val="32"/>
          <w:szCs w:val="24"/>
        </w:rPr>
        <w:t>lonych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61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tego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aktu.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ten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brany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uwagę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spełnia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kryterium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kwotowe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dużego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określone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100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1303/2013.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24A03036" w14:textId="77777777" w:rsidR="006A54DE" w:rsidRPr="00EB7EAA" w:rsidRDefault="0008447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SW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Studium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Wykonalności.</w:t>
      </w:r>
    </w:p>
    <w:p w14:paraId="306654CB" w14:textId="77777777" w:rsidR="006A54DE" w:rsidRPr="00EB7EAA" w:rsidRDefault="00DC6AE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SZ</w:t>
      </w:r>
      <w:r w:rsidR="000010D7" w:rsidRPr="00EB7EAA">
        <w:rPr>
          <w:rFonts w:eastAsia="Times New Roman"/>
          <w:b/>
          <w:bCs/>
          <w:kern w:val="32"/>
          <w:szCs w:val="24"/>
        </w:rPr>
        <w:t>OOP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0010D7" w:rsidRPr="00EB7EAA">
        <w:rPr>
          <w:rFonts w:eastAsia="Times New Roman"/>
          <w:b/>
          <w:bCs/>
          <w:kern w:val="32"/>
          <w:szCs w:val="24"/>
        </w:rPr>
        <w:t>RPOWŚ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2014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2020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Szczegółowy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Opis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Osi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Priorytetowych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Regionalnego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Programu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Operacyjnego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Województwa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Świętokrzyskiego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lata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2020.</w:t>
      </w:r>
      <w:r w:rsidR="00656606">
        <w:rPr>
          <w:rFonts w:cs="Calibri,Italic"/>
          <w:bCs/>
          <w:iCs/>
          <w:szCs w:val="24"/>
        </w:rPr>
        <w:t xml:space="preserve"> </w:t>
      </w:r>
    </w:p>
    <w:p w14:paraId="60CFCD08" w14:textId="77777777" w:rsidR="006A54DE" w:rsidRPr="00EB7EAA" w:rsidRDefault="00543693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kern w:val="32"/>
          <w:szCs w:val="24"/>
        </w:rPr>
      </w:pPr>
      <w:r w:rsidRPr="00EB7EAA">
        <w:rPr>
          <w:rFonts w:eastAsia="Times New Roman"/>
          <w:b/>
          <w:bCs/>
          <w:iCs/>
          <w:kern w:val="32"/>
          <w:szCs w:val="24"/>
        </w:rPr>
        <w:t>TFUE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t>Traktat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funkcjonowaniu</w:t>
      </w:r>
      <w:r w:rsidR="00656606">
        <w:t xml:space="preserve"> </w:t>
      </w:r>
      <w:r w:rsidRPr="00EB7EAA">
        <w:t>Unii</w:t>
      </w:r>
      <w:r w:rsidR="00656606">
        <w:t xml:space="preserve"> </w:t>
      </w:r>
      <w:r w:rsidRPr="00EB7EAA">
        <w:t>Europejskiej</w:t>
      </w:r>
      <w:r w:rsidR="00656606">
        <w:t xml:space="preserve"> </w:t>
      </w:r>
      <w:r w:rsidRPr="00EB7EAA">
        <w:t>(Dz.</w:t>
      </w:r>
      <w:r w:rsidR="00656606">
        <w:t xml:space="preserve"> </w:t>
      </w:r>
      <w:r w:rsidRPr="00EB7EAA">
        <w:t>Urz.</w:t>
      </w:r>
      <w:r w:rsidR="00656606">
        <w:t xml:space="preserve"> </w:t>
      </w:r>
      <w:r w:rsidRPr="00EB7EAA">
        <w:t>UE</w:t>
      </w:r>
      <w:r w:rsidR="00656606">
        <w:t xml:space="preserve"> </w:t>
      </w:r>
      <w:r w:rsidRPr="00EB7EAA">
        <w:t>2008</w:t>
      </w:r>
      <w:r w:rsidR="00656606">
        <w:t xml:space="preserve"> </w:t>
      </w:r>
      <w:r w:rsidRPr="00EB7EAA">
        <w:t>C</w:t>
      </w:r>
      <w:r w:rsidR="00656606">
        <w:t xml:space="preserve"> </w:t>
      </w:r>
      <w:r w:rsidRPr="00EB7EAA">
        <w:t>115/47).</w:t>
      </w:r>
    </w:p>
    <w:p w14:paraId="1EF98B38" w14:textId="77777777" w:rsidR="006A54DE" w:rsidRPr="00EB7EAA" w:rsidRDefault="00A71D18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UE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Europejska</w:t>
      </w:r>
      <w:r w:rsidR="00FE3459"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665E989E" w14:textId="77777777" w:rsidR="006A54DE" w:rsidRPr="00EB7EAA" w:rsidRDefault="000010D7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Ustawa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wdrożeniowa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lipca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zasadach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programów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23D96">
        <w:rPr>
          <w:rFonts w:eastAsia="Times New Roman"/>
          <w:bCs/>
          <w:kern w:val="32"/>
          <w:szCs w:val="24"/>
        </w:rPr>
        <w:t> </w:t>
      </w:r>
      <w:r w:rsidRPr="00EB7EAA">
        <w:rPr>
          <w:rFonts w:eastAsia="Times New Roman"/>
          <w:bCs/>
          <w:kern w:val="32"/>
          <w:szCs w:val="24"/>
        </w:rPr>
        <w:t>zakresie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polityki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spójności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perspektywie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415E30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2020</w:t>
      </w:r>
      <w:r w:rsidR="00656606">
        <w:t xml:space="preserve"> </w:t>
      </w:r>
      <w:r w:rsidRPr="00EB7EAA">
        <w:t>(</w:t>
      </w:r>
      <w:r w:rsidRPr="00EB7EAA">
        <w:rPr>
          <w:rFonts w:eastAsia="Times New Roman"/>
          <w:bCs/>
          <w:kern w:val="32"/>
          <w:szCs w:val="24"/>
        </w:rPr>
        <w:t>Dz.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poz.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1146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proofErr w:type="spellStart"/>
      <w:r w:rsidRPr="00EB7EAA">
        <w:rPr>
          <w:rFonts w:eastAsia="Times New Roman"/>
          <w:bCs/>
          <w:kern w:val="32"/>
          <w:szCs w:val="24"/>
        </w:rPr>
        <w:t>póź</w:t>
      </w:r>
      <w:r w:rsidR="00A70CBF">
        <w:rPr>
          <w:rFonts w:eastAsia="Times New Roman"/>
          <w:bCs/>
          <w:kern w:val="32"/>
          <w:szCs w:val="24"/>
        </w:rPr>
        <w:t>n</w:t>
      </w:r>
      <w:proofErr w:type="spellEnd"/>
      <w:r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zm.).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14:paraId="5611C4DB" w14:textId="77777777" w:rsidR="00296641" w:rsidRPr="00EB7EAA" w:rsidRDefault="00296641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b/>
          <w:kern w:val="32"/>
          <w:szCs w:val="24"/>
        </w:rPr>
        <w:t>Wartość</w:t>
      </w:r>
      <w:r w:rsidR="00656606">
        <w:rPr>
          <w:b/>
          <w:kern w:val="32"/>
          <w:szCs w:val="24"/>
        </w:rPr>
        <w:t xml:space="preserve"> </w:t>
      </w:r>
      <w:r w:rsidRPr="00EB7EAA">
        <w:rPr>
          <w:b/>
          <w:kern w:val="32"/>
          <w:szCs w:val="24"/>
        </w:rPr>
        <w:t>rezydualna</w:t>
      </w:r>
      <w:r w:rsidR="00656606">
        <w:rPr>
          <w:b/>
          <w:kern w:val="32"/>
          <w:szCs w:val="24"/>
        </w:rPr>
        <w:t xml:space="preserve"> </w:t>
      </w:r>
      <w:r w:rsidR="00845491" w:rsidRPr="00EB7EAA">
        <w:rPr>
          <w:kern w:val="32"/>
          <w:szCs w:val="24"/>
        </w:rPr>
        <w:t>–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potencjał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finansowy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lub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projektu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pozostałych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latach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trwania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(życia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ekonomicznego),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obliczony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ostatnim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roku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odniesienia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przyjętego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analizy.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Wartość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będzie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zerowa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lub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bliska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zeru</w:t>
      </w:r>
      <w:r w:rsidR="00F4209C" w:rsidRPr="00EB7EAA">
        <w:rPr>
          <w:kern w:val="32"/>
          <w:szCs w:val="24"/>
        </w:rPr>
        <w:t>,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jeżeli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odniesienia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będzie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zbliżony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życia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danych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aktywów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trwałych.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analizie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finansowej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wartość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rezydualna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określana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jest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oparciu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o:</w:t>
      </w:r>
      <w:r w:rsidR="00656606">
        <w:rPr>
          <w:kern w:val="32"/>
          <w:szCs w:val="24"/>
        </w:rPr>
        <w:t xml:space="preserve"> </w:t>
      </w:r>
    </w:p>
    <w:p w14:paraId="02B9EF23" w14:textId="77777777" w:rsidR="00845491" w:rsidRPr="00EB7EAA" w:rsidRDefault="00296641" w:rsidP="00265A33">
      <w:pPr>
        <w:pStyle w:val="Bezodstpw"/>
        <w:numPr>
          <w:ilvl w:val="0"/>
          <w:numId w:val="37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lastRenderedPageBreak/>
        <w:t>bieżącą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przepływów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pieniężnych,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wygenerowanych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23D96">
        <w:rPr>
          <w:kern w:val="32"/>
          <w:sz w:val="24"/>
          <w:szCs w:val="24"/>
        </w:rPr>
        <w:t> </w:t>
      </w:r>
      <w:r w:rsidRPr="00EB7EAA">
        <w:rPr>
          <w:kern w:val="32"/>
          <w:sz w:val="24"/>
          <w:szCs w:val="24"/>
        </w:rPr>
        <w:t>pozostałych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latach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(życia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ekonomicznego),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następujących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zakończeniu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odniesienia;</w:t>
      </w:r>
    </w:p>
    <w:p w14:paraId="3217C292" w14:textId="77777777" w:rsidR="00296641" w:rsidRPr="00EB7EAA" w:rsidRDefault="00296641" w:rsidP="00265A33">
      <w:pPr>
        <w:pStyle w:val="Bezodstpw"/>
        <w:numPr>
          <w:ilvl w:val="0"/>
          <w:numId w:val="37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inne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należycie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uzasadnionych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okolicznościach),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np.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wycenę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aktywów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określoną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wykorzystaniu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amortyzacji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zgodnych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polityką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rachunkowości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beneficjenta/operatora.</w:t>
      </w:r>
      <w:r w:rsidR="00656606">
        <w:rPr>
          <w:kern w:val="32"/>
          <w:sz w:val="24"/>
          <w:szCs w:val="24"/>
        </w:rPr>
        <w:t xml:space="preserve"> </w:t>
      </w:r>
    </w:p>
    <w:p w14:paraId="54901F00" w14:textId="77777777" w:rsidR="00296641" w:rsidRPr="00EB7EAA" w:rsidRDefault="0029664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zastosowania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luki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określenia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dofinansowania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dla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generującego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bierze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uwagę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rezydualną,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ile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przewyższają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koszty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operacyjne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odtworzeniowe.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takiej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sytuacji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powiększa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</w:p>
    <w:p w14:paraId="38022A2D" w14:textId="77777777" w:rsidR="00296641" w:rsidRPr="00EB7EAA" w:rsidRDefault="0029664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ekonomicznej,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zależności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tego,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została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zastosowana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oparciu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o:</w:t>
      </w:r>
      <w:r w:rsidR="00656606">
        <w:rPr>
          <w:kern w:val="32"/>
          <w:sz w:val="24"/>
          <w:szCs w:val="24"/>
        </w:rPr>
        <w:t xml:space="preserve"> </w:t>
      </w:r>
    </w:p>
    <w:p w14:paraId="4618DEC2" w14:textId="77777777" w:rsidR="00845491" w:rsidRPr="00EB7EAA" w:rsidRDefault="00296641" w:rsidP="00265A33">
      <w:pPr>
        <w:pStyle w:val="Bezodstpw"/>
        <w:numPr>
          <w:ilvl w:val="0"/>
          <w:numId w:val="36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bieżącą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przepływów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ekonomicznych,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wygenerowanych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pozostałych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latach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(życia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ekonomicznego),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następujących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zakończeniu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odniesienia</w:t>
      </w:r>
      <w:r w:rsidR="00656606">
        <w:rPr>
          <w:kern w:val="32"/>
          <w:sz w:val="24"/>
          <w:szCs w:val="24"/>
        </w:rPr>
        <w:t xml:space="preserve"> </w:t>
      </w:r>
    </w:p>
    <w:p w14:paraId="43268D38" w14:textId="77777777" w:rsidR="006A54DE" w:rsidRPr="00EB7EAA" w:rsidRDefault="00296641" w:rsidP="00265A33">
      <w:pPr>
        <w:pStyle w:val="Bezodstpw"/>
        <w:numPr>
          <w:ilvl w:val="0"/>
          <w:numId w:val="36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zastosowanie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odpowiedniego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wskaźnika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konwersji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stosunku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oszacowanej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aktywów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trwałych.</w:t>
      </w:r>
    </w:p>
    <w:p w14:paraId="390487E4" w14:textId="77777777" w:rsidR="006A54DE" w:rsidRPr="00EB7EAA" w:rsidRDefault="00084475" w:rsidP="008C181C">
      <w:pPr>
        <w:autoSpaceDE w:val="0"/>
        <w:autoSpaceDN w:val="0"/>
        <w:adjustRightInd w:val="0"/>
        <w:spacing w:after="0"/>
        <w:jc w:val="both"/>
        <w:rPr>
          <w:kern w:val="32"/>
          <w:szCs w:val="24"/>
        </w:rPr>
      </w:pPr>
      <w:proofErr w:type="spellStart"/>
      <w:r w:rsidRPr="00EB7EAA">
        <w:rPr>
          <w:b/>
          <w:kern w:val="32"/>
          <w:szCs w:val="24"/>
        </w:rPr>
        <w:t>WoD</w:t>
      </w:r>
      <w:proofErr w:type="spellEnd"/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–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Wniosek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dofinansowanie.</w:t>
      </w:r>
    </w:p>
    <w:p w14:paraId="7DDE1AE7" w14:textId="77777777" w:rsidR="006A54DE" w:rsidRPr="00EB7EAA" w:rsidRDefault="0084549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b/>
          <w:sz w:val="24"/>
          <w:szCs w:val="24"/>
        </w:rPr>
        <w:t>Wskaźnik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„luki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finansowaniu”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dla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istnieje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możliwość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określenia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wyprzedzeniem,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część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nakładów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inwestycyjnych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realizację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pokryta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sumą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dochodów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Wyraża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procentach</w:t>
      </w:r>
      <w:r w:rsidR="003A5B99">
        <w:rPr>
          <w:kern w:val="32"/>
          <w:sz w:val="24"/>
          <w:szCs w:val="24"/>
        </w:rPr>
        <w:t>,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odniesieniu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nakładów.</w:t>
      </w:r>
      <w:r w:rsidR="00656606">
        <w:rPr>
          <w:kern w:val="32"/>
          <w:sz w:val="24"/>
          <w:szCs w:val="24"/>
        </w:rPr>
        <w:t xml:space="preserve"> </w:t>
      </w:r>
    </w:p>
    <w:p w14:paraId="4CBB1165" w14:textId="77777777" w:rsidR="006A54DE" w:rsidRPr="00EB7EAA" w:rsidRDefault="00D82561" w:rsidP="008C181C">
      <w:pPr>
        <w:autoSpaceDE w:val="0"/>
        <w:autoSpaceDN w:val="0"/>
        <w:adjustRightInd w:val="0"/>
        <w:spacing w:after="0"/>
        <w:jc w:val="both"/>
        <w:rPr>
          <w:i/>
          <w:iCs/>
          <w:szCs w:val="24"/>
        </w:rPr>
      </w:pPr>
      <w:r w:rsidRPr="008C181C">
        <w:rPr>
          <w:b/>
          <w:kern w:val="32"/>
          <w:szCs w:val="24"/>
        </w:rPr>
        <w:t>Wytyczne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zakresie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kwalifikowalności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wydatków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Wytyczne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kwalifikowalności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wydatków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Rozwoju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Regionalnego,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Społecznego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oraz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Spójności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lata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2014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Ministra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Infrastruktury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Rozwoju.</w:t>
      </w:r>
    </w:p>
    <w:p w14:paraId="3F9724BC" w14:textId="77777777" w:rsidR="006A54DE" w:rsidRPr="00EB7EAA" w:rsidRDefault="008C5155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b/>
          <w:kern w:val="32"/>
          <w:sz w:val="24"/>
          <w:szCs w:val="24"/>
        </w:rPr>
        <w:t>Zwykle</w:t>
      </w:r>
      <w:r w:rsidR="00656606">
        <w:rPr>
          <w:b/>
          <w:kern w:val="32"/>
          <w:sz w:val="24"/>
          <w:szCs w:val="24"/>
        </w:rPr>
        <w:t xml:space="preserve"> </w:t>
      </w:r>
      <w:r w:rsidRPr="00EB7EAA">
        <w:rPr>
          <w:b/>
          <w:kern w:val="32"/>
          <w:sz w:val="24"/>
          <w:szCs w:val="24"/>
        </w:rPr>
        <w:t>oczekiwana</w:t>
      </w:r>
      <w:r w:rsidR="00656606">
        <w:rPr>
          <w:b/>
          <w:kern w:val="32"/>
          <w:sz w:val="24"/>
          <w:szCs w:val="24"/>
        </w:rPr>
        <w:t xml:space="preserve"> </w:t>
      </w:r>
      <w:r w:rsidRPr="00EB7EAA">
        <w:rPr>
          <w:b/>
          <w:kern w:val="32"/>
          <w:sz w:val="24"/>
          <w:szCs w:val="24"/>
        </w:rPr>
        <w:t>rentowność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zachowana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wówczas,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wysokości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pozwalającej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pokrycie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alternatywnego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kosztu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wkładu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BE6702">
        <w:rPr>
          <w:kern w:val="32"/>
          <w:sz w:val="24"/>
          <w:szCs w:val="24"/>
        </w:rPr>
        <w:t> 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(czyli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najlepszego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alternatywnego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zwrotu,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możliwego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uzyskania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siłę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roboczą,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zarządzanie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kapitał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własny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inwestora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podobnym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projekcie),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jednocześnie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nadmierne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Aby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mógł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zostać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wniesiony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wkład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wspólnotowy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bieżąca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powinna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być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ujemna,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stopa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zwrotu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niższa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stopy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dyskontowej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przyjętej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analizy.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Ograniczenie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może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mieć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zastosowania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w</w:t>
      </w:r>
      <w:r w:rsidR="00BE6702">
        <w:rPr>
          <w:kern w:val="32"/>
          <w:sz w:val="24"/>
          <w:szCs w:val="24"/>
        </w:rPr>
        <w:t> 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niektórych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podlegających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zasadom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pomocy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publicznej.</w:t>
      </w:r>
      <w:r w:rsidR="00656606">
        <w:rPr>
          <w:kern w:val="32"/>
          <w:sz w:val="24"/>
          <w:szCs w:val="24"/>
        </w:rPr>
        <w:t xml:space="preserve"> </w:t>
      </w:r>
    </w:p>
    <w:p w14:paraId="2469205B" w14:textId="77777777" w:rsidR="00FE491B" w:rsidRPr="00FE491B" w:rsidRDefault="008C5155" w:rsidP="00FE491B">
      <w:pPr>
        <w:rPr>
          <w:sz w:val="32"/>
          <w:szCs w:val="32"/>
        </w:rPr>
      </w:pPr>
      <w:r w:rsidRPr="00EB7EAA">
        <w:rPr>
          <w:b/>
        </w:rPr>
        <w:lastRenderedPageBreak/>
        <w:t>Zryczałtowana</w:t>
      </w:r>
      <w:r w:rsidR="00656606">
        <w:rPr>
          <w:b/>
        </w:rPr>
        <w:t xml:space="preserve"> </w:t>
      </w:r>
      <w:r w:rsidRPr="00EB7EAA">
        <w:rPr>
          <w:b/>
        </w:rPr>
        <w:t>procentowa</w:t>
      </w:r>
      <w:r w:rsidR="00656606">
        <w:rPr>
          <w:b/>
        </w:rPr>
        <w:t xml:space="preserve"> </w:t>
      </w:r>
      <w:r w:rsidRPr="00EB7EAA">
        <w:rPr>
          <w:b/>
        </w:rPr>
        <w:t>stawka</w:t>
      </w:r>
      <w:r w:rsidR="00656606">
        <w:rPr>
          <w:b/>
        </w:rPr>
        <w:t xml:space="preserve"> </w:t>
      </w:r>
      <w:r w:rsidRPr="00EB7EAA">
        <w:rPr>
          <w:b/>
        </w:rPr>
        <w:t>dochodów</w:t>
      </w:r>
      <w:r w:rsidR="00656606">
        <w:t xml:space="preserve"> </w:t>
      </w:r>
      <w:r w:rsidRPr="00EB7EAA">
        <w:t>(ang.</w:t>
      </w:r>
      <w:r w:rsidR="00656606">
        <w:t xml:space="preserve"> </w:t>
      </w:r>
      <w:proofErr w:type="spellStart"/>
      <w:r w:rsidRPr="00EB7EAA">
        <w:rPr>
          <w:i/>
          <w:iCs/>
        </w:rPr>
        <w:t>flat</w:t>
      </w:r>
      <w:proofErr w:type="spellEnd"/>
      <w:r w:rsidR="00656606">
        <w:rPr>
          <w:i/>
          <w:iCs/>
        </w:rPr>
        <w:t xml:space="preserve"> </w:t>
      </w:r>
      <w:proofErr w:type="spellStart"/>
      <w:r w:rsidRPr="00EB7EAA">
        <w:rPr>
          <w:i/>
          <w:iCs/>
        </w:rPr>
        <w:t>rate</w:t>
      </w:r>
      <w:proofErr w:type="spellEnd"/>
      <w:r w:rsidR="00656606">
        <w:rPr>
          <w:i/>
          <w:iCs/>
        </w:rPr>
        <w:t xml:space="preserve"> </w:t>
      </w:r>
      <w:r w:rsidRPr="00EB7EAA">
        <w:rPr>
          <w:i/>
          <w:iCs/>
        </w:rPr>
        <w:t>net</w:t>
      </w:r>
      <w:r w:rsidR="00656606">
        <w:rPr>
          <w:i/>
          <w:iCs/>
        </w:rPr>
        <w:t xml:space="preserve"> </w:t>
      </w:r>
      <w:proofErr w:type="spellStart"/>
      <w:r w:rsidRPr="00EB7EAA">
        <w:rPr>
          <w:i/>
          <w:iCs/>
        </w:rPr>
        <w:t>revenue</w:t>
      </w:r>
      <w:proofErr w:type="spellEnd"/>
      <w:r w:rsidR="00656606">
        <w:rPr>
          <w:i/>
          <w:iCs/>
        </w:rPr>
        <w:t xml:space="preserve"> </w:t>
      </w:r>
      <w:proofErr w:type="spellStart"/>
      <w:r w:rsidRPr="00EB7EAA">
        <w:rPr>
          <w:i/>
          <w:iCs/>
        </w:rPr>
        <w:t>percentage</w:t>
      </w:r>
      <w:proofErr w:type="spellEnd"/>
      <w:r w:rsidRPr="00EB7EAA">
        <w:t>)</w:t>
      </w:r>
      <w:r w:rsidR="00656606">
        <w:t xml:space="preserve"> </w:t>
      </w:r>
      <w:r w:rsidRPr="00EB7EAA">
        <w:t>–</w:t>
      </w:r>
      <w:r w:rsidR="00656606">
        <w:t xml:space="preserve"> </w:t>
      </w:r>
      <w:r w:rsidRPr="00EB7EAA">
        <w:t>wskaźnik</w:t>
      </w:r>
      <w:r w:rsidR="00656606">
        <w:t xml:space="preserve"> </w:t>
      </w:r>
      <w:r w:rsidRPr="00EB7EAA">
        <w:t>wyrażający</w:t>
      </w:r>
      <w:r w:rsidR="00656606">
        <w:t xml:space="preserve"> </w:t>
      </w:r>
      <w:r w:rsidRPr="00EB7EAA">
        <w:t>stosunek</w:t>
      </w:r>
      <w:r w:rsidR="00656606">
        <w:t xml:space="preserve"> </w:t>
      </w:r>
      <w:r w:rsidRPr="00EB7EAA">
        <w:t>zdyskontowanych</w:t>
      </w:r>
      <w:r w:rsidR="00656606">
        <w:t xml:space="preserve"> </w:t>
      </w:r>
      <w:r w:rsidRPr="00EB7EAA">
        <w:t>dochodów</w:t>
      </w:r>
      <w:r w:rsidR="00656606">
        <w:t xml:space="preserve"> </w:t>
      </w:r>
      <w:r w:rsidRPr="00EB7EAA">
        <w:t>(DNR)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zdyskontowanych</w:t>
      </w:r>
      <w:r w:rsidR="00656606">
        <w:t xml:space="preserve"> </w:t>
      </w:r>
      <w:r w:rsidRPr="00EB7EAA">
        <w:t>nakładów</w:t>
      </w:r>
      <w:r w:rsidR="00656606">
        <w:t xml:space="preserve"> </w:t>
      </w:r>
      <w:r w:rsidRPr="00EB7EAA">
        <w:t>inwestycyjnych</w:t>
      </w:r>
      <w:r w:rsidR="00656606">
        <w:t xml:space="preserve"> </w:t>
      </w:r>
      <w:r w:rsidRPr="00EB7EAA">
        <w:t>(DIC),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projekcie</w:t>
      </w:r>
      <w:r w:rsidR="00656606">
        <w:t xml:space="preserve"> </w:t>
      </w:r>
      <w:r w:rsidRPr="00EB7EAA">
        <w:t>typowym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danego</w:t>
      </w:r>
      <w:r w:rsidR="00656606">
        <w:t xml:space="preserve"> </w:t>
      </w:r>
      <w:r w:rsidRPr="00EB7EAA">
        <w:t>sektora,</w:t>
      </w:r>
      <w:r w:rsidR="00656606">
        <w:t xml:space="preserve"> </w:t>
      </w:r>
      <w:r w:rsidRPr="00EB7EAA">
        <w:t>podsektora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typu,</w:t>
      </w:r>
      <w:r w:rsidR="00656606">
        <w:t xml:space="preserve"> </w:t>
      </w:r>
      <w:r w:rsidRPr="00EB7EAA">
        <w:t>stosowany</w:t>
      </w:r>
      <w:r w:rsidR="00656606">
        <w:t xml:space="preserve"> </w:t>
      </w:r>
      <w:r w:rsidRPr="00EB7EAA">
        <w:t>celem</w:t>
      </w:r>
      <w:r w:rsidR="00656606">
        <w:t xml:space="preserve"> </w:t>
      </w:r>
      <w:r w:rsidRPr="00EB7EAA">
        <w:t>obliczenia</w:t>
      </w:r>
      <w:r w:rsidR="00656606">
        <w:t xml:space="preserve"> </w:t>
      </w:r>
      <w:r w:rsidRPr="00EB7EAA">
        <w:t>poziomu</w:t>
      </w:r>
      <w:r w:rsidR="00656606">
        <w:t xml:space="preserve"> </w:t>
      </w:r>
      <w:r w:rsidRPr="00EB7EAA">
        <w:t>dofinansowania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też</w:t>
      </w:r>
      <w:r w:rsidR="00656606">
        <w:t xml:space="preserve"> </w:t>
      </w:r>
      <w:r w:rsidRPr="00EB7EAA">
        <w:t>osi</w:t>
      </w:r>
      <w:r w:rsidR="00656606">
        <w:t xml:space="preserve"> </w:t>
      </w:r>
      <w:r w:rsidRPr="00EB7EAA">
        <w:t>priorytetowej</w:t>
      </w:r>
      <w:r w:rsidR="00656606">
        <w:t xml:space="preserve"> </w:t>
      </w:r>
      <w:r w:rsidRPr="00EB7EAA">
        <w:t>bądź</w:t>
      </w:r>
      <w:r w:rsidR="00656606">
        <w:t xml:space="preserve"> </w:t>
      </w:r>
      <w:r w:rsidRPr="00EB7EAA">
        <w:t>działania.</w:t>
      </w:r>
      <w:r w:rsidR="00656606">
        <w:t xml:space="preserve"> </w:t>
      </w:r>
    </w:p>
    <w:p w14:paraId="700B17A6" w14:textId="77777777" w:rsidR="006A54DE" w:rsidRPr="00EB7EAA" w:rsidRDefault="00A71D18" w:rsidP="000029BB">
      <w:pPr>
        <w:pStyle w:val="Nagwek1"/>
        <w:numPr>
          <w:ilvl w:val="0"/>
          <w:numId w:val="1"/>
        </w:numPr>
        <w:ind w:left="567" w:hanging="567"/>
        <w:jc w:val="both"/>
      </w:pPr>
      <w:bookmarkStart w:id="4" w:name="_Toc21079573"/>
      <w:r w:rsidRPr="00EB7EAA">
        <w:t>Identyfikacja</w:t>
      </w:r>
      <w:r w:rsidR="00656606">
        <w:t xml:space="preserve"> </w:t>
      </w:r>
      <w:r w:rsidRPr="00EB7EAA">
        <w:t>projektu</w:t>
      </w:r>
      <w:bookmarkEnd w:id="4"/>
    </w:p>
    <w:p w14:paraId="74973E47" w14:textId="77777777" w:rsidR="00A71D18" w:rsidRPr="00EB7EAA" w:rsidRDefault="00A71D1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dostarczyć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zwięzłej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jednoznacznej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temat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całościowej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koncepcji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logicznych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samodzielną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kątem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operacyjności)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jednostkę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Oznacza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obejmować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zadania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sprawiają,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stworzenie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FF763F">
        <w:rPr>
          <w:rFonts w:ascii="Calibri" w:hAnsi="Calibri"/>
        </w:rPr>
        <w:t> </w:t>
      </w:r>
      <w:r w:rsidRPr="00EB7EAA">
        <w:rPr>
          <w:rFonts w:ascii="Calibri" w:hAnsi="Calibri"/>
        </w:rPr>
        <w:t>pełni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funkcjonalnej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konieczności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dodatkowych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zadań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projekcie.</w:t>
      </w:r>
      <w:r w:rsidR="00656606">
        <w:rPr>
          <w:rFonts w:ascii="Calibri" w:hAnsi="Calibri"/>
        </w:rPr>
        <w:t xml:space="preserve"> </w:t>
      </w:r>
    </w:p>
    <w:p w14:paraId="693D171C" w14:textId="77777777" w:rsidR="0085490C" w:rsidRPr="00EB7EAA" w:rsidRDefault="0085490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563B4"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większego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przedsięwzięcia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samodzielna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jednostka)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rozszerzyć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zadania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rozpatrywane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całościowo,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</w:t>
      </w:r>
      <w:r w:rsidR="000D1E18" w:rsidRPr="00EB7EAA">
        <w:rPr>
          <w:sz w:val="24"/>
          <w:szCs w:val="24"/>
        </w:rPr>
        <w:t>: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drugiej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pamiętać,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sztuczny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rozszerzać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zadań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samodzielną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powiązane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znaleźć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AKK.</w:t>
      </w:r>
      <w:r w:rsidR="00656606">
        <w:rPr>
          <w:i/>
          <w:iCs/>
          <w:sz w:val="24"/>
          <w:szCs w:val="24"/>
        </w:rPr>
        <w:t xml:space="preserve"> </w:t>
      </w:r>
    </w:p>
    <w:p w14:paraId="67AC8DF9" w14:textId="77777777" w:rsidR="00543693" w:rsidRPr="00EB7EAA" w:rsidRDefault="00543693" w:rsidP="00EB7EAA">
      <w:pPr>
        <w:pStyle w:val="Bezodstpw"/>
        <w:spacing w:line="276" w:lineRule="auto"/>
        <w:jc w:val="both"/>
        <w:rPr>
          <w:iCs/>
          <w:sz w:val="24"/>
          <w:szCs w:val="24"/>
        </w:rPr>
      </w:pPr>
      <w:r w:rsidRPr="00EB7EAA">
        <w:rPr>
          <w:iCs/>
          <w:sz w:val="24"/>
          <w:szCs w:val="24"/>
        </w:rPr>
        <w:t>Identyfikacja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wymaga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szczególności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ustalenia:</w:t>
      </w:r>
      <w:r w:rsidR="00656606">
        <w:rPr>
          <w:iCs/>
          <w:sz w:val="24"/>
          <w:szCs w:val="24"/>
        </w:rPr>
        <w:t xml:space="preserve"> </w:t>
      </w:r>
    </w:p>
    <w:p w14:paraId="61CF6C83" w14:textId="77777777" w:rsidR="00543693" w:rsidRPr="00EB7EAA" w:rsidRDefault="00543693" w:rsidP="00265A33">
      <w:pPr>
        <w:pStyle w:val="Bezodstpw"/>
        <w:numPr>
          <w:ilvl w:val="0"/>
          <w:numId w:val="34"/>
        </w:numPr>
        <w:spacing w:line="276" w:lineRule="auto"/>
        <w:jc w:val="both"/>
        <w:rPr>
          <w:iCs/>
          <w:sz w:val="24"/>
          <w:szCs w:val="24"/>
        </w:rPr>
      </w:pPr>
      <w:r w:rsidRPr="00EB7EAA">
        <w:rPr>
          <w:iCs/>
          <w:sz w:val="24"/>
          <w:szCs w:val="24"/>
        </w:rPr>
        <w:t>całkowitego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kosztu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kwalifikowalnego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celu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określenia,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czy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analizowany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należy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uznać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za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duży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myśl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art.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100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rozporządzenia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nr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1303/2013;</w:t>
      </w:r>
    </w:p>
    <w:p w14:paraId="6D82BC5F" w14:textId="77777777" w:rsidR="00A71D18" w:rsidRPr="00EB7EAA" w:rsidRDefault="00543693" w:rsidP="00265A33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B7EAA">
        <w:rPr>
          <w:iCs/>
          <w:sz w:val="24"/>
          <w:szCs w:val="24"/>
        </w:rPr>
        <w:t>czy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dofinansowanie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stanowi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pomoc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publiczną,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której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mowa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art.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107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TFUE;</w:t>
      </w:r>
    </w:p>
    <w:p w14:paraId="4B818019" w14:textId="77777777" w:rsidR="001434BE" w:rsidRPr="00EB7EAA" w:rsidRDefault="00543693" w:rsidP="00265A33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jednej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1303/2013.</w:t>
      </w:r>
      <w:r w:rsidR="00656606">
        <w:rPr>
          <w:sz w:val="24"/>
          <w:szCs w:val="24"/>
        </w:rPr>
        <w:t xml:space="preserve"> </w:t>
      </w:r>
    </w:p>
    <w:p w14:paraId="421C1506" w14:textId="77777777" w:rsidR="00A71D18" w:rsidRPr="00EB7EAA" w:rsidRDefault="00A71D18" w:rsidP="00EB7EAA">
      <w:pPr>
        <w:pStyle w:val="Nagwek2"/>
        <w:jc w:val="both"/>
        <w:rPr>
          <w:i/>
        </w:rPr>
      </w:pPr>
      <w:bookmarkStart w:id="5" w:name="_Toc21079574"/>
      <w:r w:rsidRPr="00EB7EAA">
        <w:lastRenderedPageBreak/>
        <w:t>Podstawowe</w:t>
      </w:r>
      <w:r w:rsidR="00656606">
        <w:t xml:space="preserve"> </w:t>
      </w:r>
      <w:r w:rsidRPr="00EB7EAA">
        <w:t>dane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projekcie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3848"/>
      </w:tblGrid>
      <w:tr w:rsidR="00A71D18" w:rsidRPr="00EB7EAA" w14:paraId="0335CDAB" w14:textId="77777777" w:rsidTr="006C7186">
        <w:trPr>
          <w:jc w:val="center"/>
        </w:trPr>
        <w:tc>
          <w:tcPr>
            <w:tcW w:w="2834" w:type="pct"/>
          </w:tcPr>
          <w:p w14:paraId="4A5F6E21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Wnioskodawca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(nazwa,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dane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teleadresowe)</w:t>
            </w:r>
          </w:p>
        </w:tc>
        <w:tc>
          <w:tcPr>
            <w:tcW w:w="2166" w:type="pct"/>
          </w:tcPr>
          <w:p w14:paraId="4A10D7DB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77364643" w14:textId="77777777" w:rsidTr="006C7186">
        <w:trPr>
          <w:jc w:val="center"/>
        </w:trPr>
        <w:tc>
          <w:tcPr>
            <w:tcW w:w="2834" w:type="pct"/>
          </w:tcPr>
          <w:p w14:paraId="421FDC2F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Tytuł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</w:p>
        </w:tc>
        <w:tc>
          <w:tcPr>
            <w:tcW w:w="2166" w:type="pct"/>
          </w:tcPr>
          <w:p w14:paraId="5B4EC05B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FE3459" w:rsidRPr="00EB7EAA" w14:paraId="1FA82563" w14:textId="77777777" w:rsidTr="006C7186">
        <w:trPr>
          <w:jc w:val="center"/>
        </w:trPr>
        <w:tc>
          <w:tcPr>
            <w:tcW w:w="2834" w:type="pct"/>
          </w:tcPr>
          <w:p w14:paraId="7832650F" w14:textId="77777777" w:rsidR="00FE3459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Nazwa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nr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Priorytetu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inwestycyjnego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166" w:type="pct"/>
          </w:tcPr>
          <w:p w14:paraId="405BDFDE" w14:textId="77777777" w:rsidR="00FE3459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7026D595" w14:textId="77777777" w:rsidTr="006C7186">
        <w:trPr>
          <w:jc w:val="center"/>
        </w:trPr>
        <w:tc>
          <w:tcPr>
            <w:tcW w:w="2834" w:type="pct"/>
          </w:tcPr>
          <w:p w14:paraId="10AF035C" w14:textId="77777777"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rFonts w:cs="Calibri"/>
                <w:sz w:val="20"/>
                <w:szCs w:val="20"/>
                <w:lang w:eastAsia="pl-PL"/>
              </w:rPr>
              <w:t>N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r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i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nazwa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osi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priorytetowa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wg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SZ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OOP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166" w:type="pct"/>
          </w:tcPr>
          <w:p w14:paraId="2520A356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609EC55A" w14:textId="77777777" w:rsidTr="006C7186">
        <w:trPr>
          <w:jc w:val="center"/>
        </w:trPr>
        <w:tc>
          <w:tcPr>
            <w:tcW w:w="2834" w:type="pct"/>
          </w:tcPr>
          <w:p w14:paraId="1CDCAFF0" w14:textId="77777777"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Nr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nazwa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działania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wg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SZ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OOP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6" w:type="pct"/>
          </w:tcPr>
          <w:p w14:paraId="595658F0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297E46CE" w14:textId="77777777" w:rsidTr="006C7186">
        <w:trPr>
          <w:jc w:val="center"/>
        </w:trPr>
        <w:tc>
          <w:tcPr>
            <w:tcW w:w="2834" w:type="pct"/>
          </w:tcPr>
          <w:p w14:paraId="4606098D" w14:textId="77777777"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Cel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szczegółowy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działania</w:t>
            </w:r>
          </w:p>
        </w:tc>
        <w:tc>
          <w:tcPr>
            <w:tcW w:w="2166" w:type="pct"/>
          </w:tcPr>
          <w:p w14:paraId="70A949BA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029AFC68" w14:textId="77777777" w:rsidTr="006C7186">
        <w:trPr>
          <w:jc w:val="center"/>
        </w:trPr>
        <w:tc>
          <w:tcPr>
            <w:tcW w:w="2834" w:type="pct"/>
          </w:tcPr>
          <w:p w14:paraId="6C6F0568" w14:textId="77777777"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Całkowity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koszt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(PLN)</w:t>
            </w:r>
          </w:p>
        </w:tc>
        <w:tc>
          <w:tcPr>
            <w:tcW w:w="2166" w:type="pct"/>
          </w:tcPr>
          <w:p w14:paraId="7A2F45F0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7AC2E600" w14:textId="77777777" w:rsidTr="006C7186">
        <w:trPr>
          <w:jc w:val="center"/>
        </w:trPr>
        <w:tc>
          <w:tcPr>
            <w:tcW w:w="2834" w:type="pct"/>
          </w:tcPr>
          <w:p w14:paraId="0ED1CAC5" w14:textId="77777777"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Całkowity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koszt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kwalifikowalny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="009C03B2" w:rsidRPr="00EB7EAA">
              <w:rPr>
                <w:sz w:val="20"/>
                <w:szCs w:val="20"/>
              </w:rPr>
              <w:t>(</w:t>
            </w:r>
            <w:r w:rsidRPr="00EB7EAA">
              <w:rPr>
                <w:sz w:val="20"/>
                <w:szCs w:val="20"/>
              </w:rPr>
              <w:t>PLN)</w:t>
            </w:r>
          </w:p>
        </w:tc>
        <w:tc>
          <w:tcPr>
            <w:tcW w:w="2166" w:type="pct"/>
          </w:tcPr>
          <w:p w14:paraId="215CA8C2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14:paraId="3FB15253" w14:textId="77777777" w:rsidTr="006C7186">
        <w:trPr>
          <w:jc w:val="center"/>
        </w:trPr>
        <w:tc>
          <w:tcPr>
            <w:tcW w:w="2834" w:type="pct"/>
          </w:tcPr>
          <w:p w14:paraId="21FE91CD" w14:textId="77777777" w:rsidR="00A71D18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Wnioskowana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kwota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dofinansowania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EFRR</w:t>
            </w:r>
          </w:p>
        </w:tc>
        <w:tc>
          <w:tcPr>
            <w:tcW w:w="2166" w:type="pct"/>
          </w:tcPr>
          <w:p w14:paraId="3E2C2C6E" w14:textId="77777777"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9C03B2" w:rsidRPr="00EB7EAA" w14:paraId="3B992E06" w14:textId="77777777" w:rsidTr="006C7186">
        <w:trPr>
          <w:trHeight w:val="592"/>
          <w:jc w:val="center"/>
        </w:trPr>
        <w:tc>
          <w:tcPr>
            <w:tcW w:w="2834" w:type="pct"/>
          </w:tcPr>
          <w:p w14:paraId="10B0163E" w14:textId="77777777"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Wnioskowana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kwota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dofinansowania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budżetu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państwa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(jeśli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dotyczy)</w:t>
            </w:r>
          </w:p>
        </w:tc>
        <w:tc>
          <w:tcPr>
            <w:tcW w:w="2166" w:type="pct"/>
          </w:tcPr>
          <w:p w14:paraId="4E520511" w14:textId="77777777"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9C03B2" w:rsidRPr="00EB7EAA" w14:paraId="2FACD66C" w14:textId="77777777" w:rsidTr="006C7186">
        <w:trPr>
          <w:jc w:val="center"/>
        </w:trPr>
        <w:tc>
          <w:tcPr>
            <w:tcW w:w="2834" w:type="pct"/>
          </w:tcPr>
          <w:p w14:paraId="7E8775A4" w14:textId="77777777"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Okres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realizacji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„od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(miesiąc</w:t>
            </w:r>
            <w:r w:rsidR="00656606">
              <w:rPr>
                <w:sz w:val="20"/>
                <w:szCs w:val="20"/>
              </w:rPr>
              <w:t xml:space="preserve"> </w:t>
            </w:r>
            <w:r w:rsidR="00415E30">
              <w:rPr>
                <w:sz w:val="20"/>
                <w:szCs w:val="20"/>
              </w:rPr>
              <w:t>–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rok)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do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(miesiąc</w:t>
            </w:r>
            <w:r w:rsidR="00656606">
              <w:rPr>
                <w:sz w:val="20"/>
                <w:szCs w:val="20"/>
              </w:rPr>
              <w:t xml:space="preserve"> </w:t>
            </w:r>
            <w:r w:rsidR="00415E30">
              <w:rPr>
                <w:sz w:val="20"/>
                <w:szCs w:val="20"/>
              </w:rPr>
              <w:t>–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rok)”</w:t>
            </w:r>
          </w:p>
        </w:tc>
        <w:tc>
          <w:tcPr>
            <w:tcW w:w="2166" w:type="pct"/>
          </w:tcPr>
          <w:p w14:paraId="2DB91023" w14:textId="77777777"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C3322E" w:rsidRPr="00EB7EAA" w14:paraId="1122E54F" w14:textId="77777777" w:rsidTr="006C7186">
        <w:trPr>
          <w:jc w:val="center"/>
        </w:trPr>
        <w:tc>
          <w:tcPr>
            <w:tcW w:w="2834" w:type="pct"/>
          </w:tcPr>
          <w:p w14:paraId="14AAC08F" w14:textId="77777777" w:rsidR="00C3322E" w:rsidRPr="00EB7EAA" w:rsidRDefault="00C3322E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Projekt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realizowany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w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partnerstwie/formule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Partnerstwa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Publiczno</w:t>
            </w:r>
            <w:r w:rsidR="00BE538D">
              <w:rPr>
                <w:sz w:val="20"/>
                <w:szCs w:val="20"/>
              </w:rPr>
              <w:t>-</w:t>
            </w:r>
            <w:r w:rsidRPr="00EB7EAA">
              <w:rPr>
                <w:sz w:val="20"/>
                <w:szCs w:val="20"/>
              </w:rPr>
              <w:t>Prywatnego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(TAK/NIE)</w:t>
            </w:r>
          </w:p>
        </w:tc>
        <w:tc>
          <w:tcPr>
            <w:tcW w:w="2166" w:type="pct"/>
          </w:tcPr>
          <w:p w14:paraId="75A9E0D3" w14:textId="77777777" w:rsidR="00C3322E" w:rsidRPr="00EB7EAA" w:rsidRDefault="00C3322E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</w:tbl>
    <w:p w14:paraId="02C3B57C" w14:textId="77777777" w:rsidR="006A54DE" w:rsidRPr="00EB7EAA" w:rsidRDefault="00A71D18" w:rsidP="00EB7EAA">
      <w:pPr>
        <w:pStyle w:val="Nagwek2"/>
        <w:jc w:val="both"/>
        <w:rPr>
          <w:i/>
        </w:rPr>
      </w:pPr>
      <w:bookmarkStart w:id="6" w:name="_Toc21079575"/>
      <w:r w:rsidRPr="00EB7EAA">
        <w:t>Opis</w:t>
      </w:r>
      <w:r w:rsidR="00656606">
        <w:t xml:space="preserve"> </w:t>
      </w:r>
      <w:r w:rsidRPr="00EB7EAA">
        <w:t>stanu</w:t>
      </w:r>
      <w:r w:rsidR="00656606">
        <w:t xml:space="preserve"> </w:t>
      </w:r>
      <w:r w:rsidRPr="00EB7EAA">
        <w:t>aktualn</w:t>
      </w:r>
      <w:r w:rsidR="0094244F" w:rsidRPr="00EB7EAA">
        <w:t>ego</w:t>
      </w:r>
      <w:r w:rsidR="00656606">
        <w:t xml:space="preserve"> </w:t>
      </w:r>
      <w:r w:rsidR="0094244F" w:rsidRPr="00EB7EAA">
        <w:t>(przed</w:t>
      </w:r>
      <w:r w:rsidR="00656606">
        <w:t xml:space="preserve"> </w:t>
      </w:r>
      <w:r w:rsidR="0094244F" w:rsidRPr="00EB7EAA">
        <w:t>realizacją</w:t>
      </w:r>
      <w:r w:rsidRPr="00EB7EAA">
        <w:t>)</w:t>
      </w:r>
      <w:bookmarkEnd w:id="6"/>
    </w:p>
    <w:p w14:paraId="291608DA" w14:textId="77777777" w:rsidR="00A71D18" w:rsidRPr="00EB7EAA" w:rsidRDefault="00A71D1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Elementem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wyjściowym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poprawnie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rzetelny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dokładny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Jasno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czytelnie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opisany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aktualny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stan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pozwala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przejrzysty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przejść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identyfikacji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pełnego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obrazu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otoczenia,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BE538D">
        <w:rPr>
          <w:rFonts w:ascii="Calibri" w:hAnsi="Calibri"/>
        </w:rPr>
        <w:t> 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Cs/>
        </w:rPr>
        <w:t>potrzeby</w:t>
      </w:r>
      <w:r w:rsidR="00656606">
        <w:rPr>
          <w:rFonts w:ascii="Calibri" w:hAnsi="Calibri"/>
          <w:bCs/>
        </w:rPr>
        <w:t xml:space="preserve"> </w:t>
      </w:r>
      <w:r w:rsidRPr="00EB7EAA">
        <w:rPr>
          <w:rFonts w:ascii="Calibri" w:hAnsi="Calibri"/>
          <w:bCs/>
        </w:rPr>
        <w:t>realizacji</w:t>
      </w:r>
      <w:r w:rsidR="00656606">
        <w:rPr>
          <w:rFonts w:ascii="Calibri" w:hAnsi="Calibri"/>
          <w:bCs/>
        </w:rPr>
        <w:t xml:space="preserve"> </w:t>
      </w:r>
      <w:r w:rsidRPr="00EB7EAA">
        <w:rPr>
          <w:rFonts w:ascii="Calibri" w:hAnsi="Calibri"/>
          <w:bCs/>
        </w:rPr>
        <w:t>projektu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06218A" w:rsidRPr="00EB7EAA">
        <w:rPr>
          <w:rFonts w:ascii="Calibri" w:hAnsi="Calibri"/>
        </w:rPr>
        <w:t>P</w:t>
      </w:r>
      <w:r w:rsidRPr="00EB7EAA">
        <w:rPr>
          <w:rFonts w:ascii="Calibri" w:hAnsi="Calibri"/>
        </w:rPr>
        <w:t>owinien</w:t>
      </w:r>
      <w:r w:rsidR="00656606">
        <w:rPr>
          <w:rFonts w:ascii="Calibri" w:hAnsi="Calibri"/>
        </w:rPr>
        <w:t xml:space="preserve"> </w:t>
      </w:r>
      <w:r w:rsidR="0006218A"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koncentrować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elementów,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mogą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B97187" w:rsidRPr="00EB7EAA">
        <w:rPr>
          <w:rFonts w:ascii="Calibri" w:hAnsi="Calibri"/>
        </w:rPr>
        <w:t>ostać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wykorzystane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projekcie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otoczenia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związanego.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N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etapie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wskazane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wynikaj</w:t>
      </w:r>
      <w:r w:rsidR="00453BD3" w:rsidRPr="00EB7EAA">
        <w:rPr>
          <w:rFonts w:ascii="Calibri" w:hAnsi="Calibri"/>
        </w:rPr>
        <w:t>ące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aktualnego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Z</w:t>
      </w:r>
      <w:r w:rsidRPr="00EB7EAA">
        <w:rPr>
          <w:rFonts w:ascii="Calibri" w:hAnsi="Calibri"/>
        </w:rPr>
        <w:t>akres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zawierać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przedsięwzięcia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elementy,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szczególności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m.in.:</w:t>
      </w:r>
      <w:r w:rsidR="00656606">
        <w:rPr>
          <w:rFonts w:ascii="Calibri" w:hAnsi="Calibri"/>
        </w:rPr>
        <w:t xml:space="preserve"> </w:t>
      </w:r>
    </w:p>
    <w:p w14:paraId="4D5E4C84" w14:textId="77777777" w:rsidR="0056093D" w:rsidRPr="00EB7EAA" w:rsidRDefault="0056093D" w:rsidP="00265A33">
      <w:pPr>
        <w:pStyle w:val="Default"/>
        <w:numPr>
          <w:ilvl w:val="0"/>
          <w:numId w:val="3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obszaru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objętego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potencjalnym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oddziaływaniem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obszaru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(rolniczy,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przemysłowy,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turystyczny,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miejski,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zamiejski,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itp.)</w:t>
      </w:r>
      <w:r w:rsidR="00B97187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C3322E" w:rsidRPr="00EB7EAA">
        <w:rPr>
          <w:rFonts w:ascii="Calibri" w:hAnsi="Calibri"/>
        </w:rPr>
        <w:t>dane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nt.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eastAsia="Times New Roman" w:hAnsi="Calibri"/>
        </w:rPr>
        <w:t>stopy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struktury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bezrobocia,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</w:t>
      </w:r>
      <w:r w:rsidR="00B97187" w:rsidRPr="00EB7EAA">
        <w:rPr>
          <w:rFonts w:ascii="Calibri" w:eastAsia="Times New Roman" w:hAnsi="Calibri"/>
        </w:rPr>
        <w:t>u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struktury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przedsiębi</w:t>
      </w:r>
      <w:r w:rsidR="00B97187" w:rsidRPr="00EB7EAA">
        <w:rPr>
          <w:rFonts w:ascii="Calibri" w:eastAsia="Times New Roman" w:hAnsi="Calibri"/>
        </w:rPr>
        <w:t>orczości,</w:t>
      </w:r>
      <w:r w:rsidR="00656606">
        <w:rPr>
          <w:rFonts w:ascii="Calibri" w:eastAsia="Times New Roman" w:hAnsi="Calibri"/>
        </w:rPr>
        <w:t xml:space="preserve"> </w:t>
      </w:r>
      <w:r w:rsidR="00B97187" w:rsidRPr="00EB7EAA">
        <w:rPr>
          <w:rFonts w:ascii="Calibri" w:eastAsia="Times New Roman" w:hAnsi="Calibri"/>
        </w:rPr>
        <w:t>dochodów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mieszkańca</w:t>
      </w:r>
      <w:r w:rsidR="00C3322E" w:rsidRPr="00EB7EAA">
        <w:rPr>
          <w:rFonts w:ascii="Calibri" w:eastAsia="Times New Roman" w:hAnsi="Calibri"/>
        </w:rPr>
        <w:t>,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zidentyfikowanych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negatywnych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zjawisk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społecznych</w:t>
      </w:r>
      <w:r w:rsidR="00C3322E" w:rsidRPr="00EB7EAA">
        <w:rPr>
          <w:rFonts w:ascii="Calibri" w:eastAsia="Times New Roman" w:hAnsi="Calibri"/>
        </w:rPr>
        <w:t>,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itp.).</w:t>
      </w:r>
      <w:r w:rsidR="00656606">
        <w:rPr>
          <w:rFonts w:ascii="Calibri" w:eastAsia="Times New Roman" w:hAnsi="Calibri"/>
        </w:rPr>
        <w:t xml:space="preserve"> </w:t>
      </w:r>
    </w:p>
    <w:p w14:paraId="35AA5313" w14:textId="5DE7E57B" w:rsidR="0056093D" w:rsidRDefault="001E5F68" w:rsidP="00265A33">
      <w:pPr>
        <w:pStyle w:val="Default"/>
        <w:numPr>
          <w:ilvl w:val="0"/>
          <w:numId w:val="35"/>
        </w:numPr>
        <w:jc w:val="both"/>
        <w:rPr>
          <w:rFonts w:ascii="Calibri" w:hAnsi="Calibri"/>
        </w:rPr>
      </w:pPr>
      <w:r w:rsidRPr="001E5F68">
        <w:rPr>
          <w:rFonts w:ascii="Calibri" w:hAnsi="Calibri"/>
        </w:rPr>
        <w:t xml:space="preserve">opis funkcjonujących w strukturze organizacyjnej Wnioskodawcy komórek organizacyjnych, które związane są z zakresem wsparcia i przedmiotem projektu oraz opis stanu technicznego </w:t>
      </w:r>
      <w:r w:rsidR="00E24A31" w:rsidRPr="001C3F75">
        <w:rPr>
          <w:rFonts w:ascii="Calibri" w:hAnsi="Calibri"/>
        </w:rPr>
        <w:t xml:space="preserve">posiadanej </w:t>
      </w:r>
      <w:r w:rsidRPr="001C3F75">
        <w:rPr>
          <w:rFonts w:ascii="Calibri" w:hAnsi="Calibri"/>
        </w:rPr>
        <w:t>infrastruktury</w:t>
      </w:r>
      <w:r w:rsidR="00E24A31" w:rsidRPr="001C3F75">
        <w:rPr>
          <w:rFonts w:ascii="Calibri" w:hAnsi="Calibri"/>
        </w:rPr>
        <w:t xml:space="preserve"> będącej przedmiotem projektu</w:t>
      </w:r>
      <w:r w:rsidRPr="001C3F75">
        <w:rPr>
          <w:rFonts w:ascii="Calibri" w:hAnsi="Calibri"/>
        </w:rPr>
        <w:t>, w</w:t>
      </w:r>
      <w:r w:rsidR="00A61E72" w:rsidRPr="001C3F75">
        <w:rPr>
          <w:rFonts w:ascii="Calibri" w:hAnsi="Calibri"/>
        </w:rPr>
        <w:t> </w:t>
      </w:r>
      <w:r w:rsidRPr="001C3F75">
        <w:rPr>
          <w:rFonts w:ascii="Calibri" w:hAnsi="Calibri"/>
        </w:rPr>
        <w:t>tym podanie</w:t>
      </w:r>
      <w:r w:rsidRPr="001E5F68">
        <w:rPr>
          <w:rFonts w:ascii="Calibri" w:hAnsi="Calibri"/>
        </w:rPr>
        <w:t xml:space="preserve"> liczby i roku produkcji wyrobów medycznych</w:t>
      </w:r>
      <w:r w:rsidR="00FD4A51" w:rsidRPr="00EB7EAA">
        <w:rPr>
          <w:rFonts w:ascii="Calibri" w:hAnsi="Calibri"/>
        </w:rPr>
        <w:t>,</w:t>
      </w:r>
    </w:p>
    <w:p w14:paraId="4AB8336C" w14:textId="0A9BDC66" w:rsidR="00F05D1D" w:rsidRPr="00F05D1D" w:rsidRDefault="00F05D1D" w:rsidP="001C41FC">
      <w:pPr>
        <w:pStyle w:val="Default"/>
        <w:numPr>
          <w:ilvl w:val="0"/>
          <w:numId w:val="35"/>
        </w:numPr>
        <w:jc w:val="both"/>
        <w:rPr>
          <w:rFonts w:ascii="Calibri" w:hAnsi="Calibri"/>
        </w:rPr>
      </w:pPr>
      <w:r w:rsidRPr="00F05D1D">
        <w:rPr>
          <w:rFonts w:ascii="Calibri" w:hAnsi="Calibri"/>
        </w:rPr>
        <w:t>opis zidentyfikowanych problemów,</w:t>
      </w:r>
    </w:p>
    <w:p w14:paraId="6241C1B0" w14:textId="77777777" w:rsidR="00FE5487" w:rsidRPr="00EB7EAA" w:rsidRDefault="0056093D" w:rsidP="00265A33">
      <w:pPr>
        <w:pStyle w:val="Default"/>
        <w:numPr>
          <w:ilvl w:val="0"/>
          <w:numId w:val="3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działań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zmierzających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poprawy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sytuacji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zniwelowania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problemów.</w:t>
      </w:r>
      <w:r w:rsidR="00656606">
        <w:rPr>
          <w:rFonts w:ascii="Calibri" w:hAnsi="Calibri"/>
        </w:rPr>
        <w:t xml:space="preserve"> </w:t>
      </w:r>
    </w:p>
    <w:p w14:paraId="0FB06936" w14:textId="77777777" w:rsidR="00A71D18" w:rsidRPr="00EB7EAA" w:rsidRDefault="0056093D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Opisując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="00F96C73" w:rsidRPr="00EB7EAA">
        <w:rPr>
          <w:rFonts w:ascii="Calibri" w:hAnsi="Calibri"/>
        </w:rPr>
        <w:t>poda</w:t>
      </w:r>
      <w:r w:rsidRPr="00EB7EAA">
        <w:rPr>
          <w:rFonts w:ascii="Calibri" w:hAnsi="Calibri"/>
        </w:rPr>
        <w:t>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źródła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przedstawianych</w:t>
      </w:r>
      <w:r w:rsidR="00656606">
        <w:rPr>
          <w:rFonts w:ascii="Calibri" w:hAnsi="Calibri"/>
        </w:rPr>
        <w:t xml:space="preserve"> </w:t>
      </w:r>
      <w:r w:rsidR="00F96C73" w:rsidRPr="00EB7EAA">
        <w:rPr>
          <w:rFonts w:ascii="Calibri" w:hAnsi="Calibri"/>
        </w:rPr>
        <w:t>danych/</w:t>
      </w:r>
      <w:r w:rsidRPr="00EB7EAA">
        <w:rPr>
          <w:rFonts w:ascii="Calibri" w:hAnsi="Calibri"/>
        </w:rPr>
        <w:t>informacji.</w:t>
      </w:r>
    </w:p>
    <w:p w14:paraId="7DC10226" w14:textId="77777777" w:rsidR="006A54DE" w:rsidRPr="00EB7EAA" w:rsidRDefault="0093792E" w:rsidP="00EB7EAA">
      <w:pPr>
        <w:pStyle w:val="Nagwek2"/>
        <w:jc w:val="both"/>
        <w:rPr>
          <w:rFonts w:eastAsia="ArialNarrow,Bold"/>
          <w:i/>
        </w:rPr>
      </w:pPr>
      <w:bookmarkStart w:id="7" w:name="_Toc21079576"/>
      <w:r w:rsidRPr="00EB7EAA">
        <w:rPr>
          <w:rFonts w:eastAsia="ArialNarrow,Bold"/>
        </w:rPr>
        <w:t>O</w:t>
      </w:r>
      <w:r w:rsidR="00F96C73" w:rsidRPr="00EB7EAA">
        <w:rPr>
          <w:rFonts w:eastAsia="ArialNarrow,Bold"/>
        </w:rPr>
        <w:t>pis</w:t>
      </w:r>
      <w:r w:rsidR="00656606">
        <w:rPr>
          <w:rFonts w:eastAsia="ArialNarrow,Bold"/>
        </w:rPr>
        <w:t xml:space="preserve"> </w:t>
      </w:r>
      <w:r w:rsidR="0094244F" w:rsidRPr="00EB7EAA">
        <w:rPr>
          <w:rFonts w:eastAsia="ArialNarrow,Bold"/>
        </w:rPr>
        <w:t>stanu</w:t>
      </w:r>
      <w:r w:rsidR="00656606">
        <w:rPr>
          <w:rFonts w:eastAsia="ArialNarrow,Bold"/>
        </w:rPr>
        <w:t xml:space="preserve"> </w:t>
      </w:r>
      <w:r w:rsidR="0094244F" w:rsidRPr="00EB7EAA">
        <w:rPr>
          <w:rFonts w:eastAsia="ArialNarrow,Bold"/>
        </w:rPr>
        <w:t>projektowanego</w:t>
      </w:r>
      <w:bookmarkEnd w:id="7"/>
    </w:p>
    <w:p w14:paraId="707C5B38" w14:textId="77777777" w:rsidR="0085490C" w:rsidRPr="00EB7EAA" w:rsidRDefault="004E6FE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Wymagane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</w:t>
      </w:r>
      <w:r w:rsidR="00F96C73" w:rsidRPr="00EB7EAA">
        <w:rPr>
          <w:sz w:val="24"/>
          <w:szCs w:val="24"/>
        </w:rPr>
        <w:t>zczegół</w:t>
      </w:r>
      <w:r w:rsidRPr="00EB7EAA">
        <w:rPr>
          <w:sz w:val="24"/>
          <w:szCs w:val="24"/>
        </w:rPr>
        <w:t>owe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doprecyzowa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uzasadnienie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zakres</w:t>
      </w:r>
      <w:r w:rsidRPr="00EB7EAA">
        <w:rPr>
          <w:sz w:val="24"/>
          <w:szCs w:val="24"/>
        </w:rPr>
        <w:t>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rzeczowego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projektu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prezentując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cel,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kwestie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dotyczył,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infrastrukturę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jaka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stworzona,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itp.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umieścić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zestawienie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przewidywanych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wykonania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robót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budowlanych,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wyszczególnić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sprzęt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wyposażenie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planowane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zakupu,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opis</w:t>
      </w:r>
      <w:r w:rsidR="0006218A" w:rsidRPr="00EB7EAA">
        <w:rPr>
          <w:sz w:val="24"/>
          <w:szCs w:val="24"/>
        </w:rPr>
        <w:t>ać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dostawy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usług</w:t>
      </w:r>
      <w:r w:rsidR="0006218A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6218A" w:rsidRPr="00EB7EAA">
        <w:rPr>
          <w:sz w:val="24"/>
          <w:szCs w:val="24"/>
        </w:rPr>
        <w:t>wykonywane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projektu</w:t>
      </w:r>
      <w:r w:rsidR="008A02D2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="003072DD" w:rsidRPr="00EB7EAA">
        <w:rPr>
          <w:sz w:val="24"/>
          <w:szCs w:val="24"/>
        </w:rPr>
        <w:t>N</w:t>
      </w:r>
      <w:r w:rsidR="0094244F" w:rsidRPr="00EB7EAA">
        <w:rPr>
          <w:sz w:val="24"/>
          <w:szCs w:val="24"/>
        </w:rPr>
        <w:t>ależy</w:t>
      </w:r>
      <w:r w:rsidR="00656606">
        <w:rPr>
          <w:sz w:val="24"/>
          <w:szCs w:val="24"/>
        </w:rPr>
        <w:t xml:space="preserve"> </w:t>
      </w:r>
      <w:r w:rsidR="003072DD"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podać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podstawowe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parametry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techniczne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elementów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(parametry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budowanego/modernizowanego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obiektu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budowlanego,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zakupywanego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sprzętu,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wyposażenia,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instalacji,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etc.).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Dodatkowo,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przeprowadzić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</w:t>
      </w:r>
      <w:r w:rsidR="00B31D7F">
        <w:rPr>
          <w:sz w:val="24"/>
          <w:szCs w:val="24"/>
        </w:rPr>
        <w:t> </w:t>
      </w:r>
      <w:r w:rsidR="0094244F" w:rsidRPr="00EB7EAA">
        <w:rPr>
          <w:sz w:val="24"/>
          <w:szCs w:val="24"/>
        </w:rPr>
        <w:t>kontekście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całego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układu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infrastruktury,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funkcjonalne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rzeczowe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powiązania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projektem,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istniejącą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infrastrukturą.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Trzeba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zwrócić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uwagę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opis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pozostawał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zgodny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zakresem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przewidzianym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osi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priorytetowej/działaniu.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Przedstawiony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opis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stanowić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rozwinięcie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opisu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zawartego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dofinansowanie.</w:t>
      </w:r>
    </w:p>
    <w:p w14:paraId="6DC47771" w14:textId="77777777" w:rsidR="00FE5487" w:rsidRPr="00EB7EAA" w:rsidRDefault="00B54E3C" w:rsidP="00EB7EAA">
      <w:pPr>
        <w:spacing w:after="0"/>
        <w:jc w:val="both"/>
        <w:rPr>
          <w:b/>
          <w:szCs w:val="24"/>
        </w:rPr>
      </w:pPr>
      <w:r w:rsidRPr="00EB7EAA">
        <w:rPr>
          <w:szCs w:val="24"/>
        </w:rPr>
        <w:t>Wszystkie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podziale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elementy,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któr</w:t>
      </w:r>
      <w:r w:rsidR="0006218A" w:rsidRPr="00EB7EAA">
        <w:rPr>
          <w:szCs w:val="24"/>
        </w:rPr>
        <w:t>e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kwalifikowalnymi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i</w:t>
      </w:r>
      <w:r w:rsidR="00B31D7F">
        <w:rPr>
          <w:szCs w:val="24"/>
        </w:rPr>
        <w:t> </w:t>
      </w:r>
      <w:r w:rsidRPr="00EB7EAA">
        <w:rPr>
          <w:szCs w:val="24"/>
        </w:rPr>
        <w:t>niekwalifikowanymi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poniższej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tabeli</w:t>
      </w:r>
      <w:r w:rsidR="0002044C" w:rsidRPr="00EB7EAA">
        <w:rPr>
          <w:szCs w:val="24"/>
        </w:rPr>
        <w:t>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Podstawą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podziału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powinna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być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analiza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kwalifikowalności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kosztów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przedsięwzięcia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przewidzianych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dofinansowania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ramach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2020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przeprowadzana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podstawie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obowiązujących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aktów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prawnych</w:t>
      </w:r>
      <w:r w:rsidR="00DC6AE6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dokumentów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programowych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(RPOWŚ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2020,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SZOOP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2020)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b/>
          <w:szCs w:val="24"/>
          <w:lang w:eastAsia="pl-PL"/>
        </w:rPr>
        <w:t>wytycznych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02044C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zakresie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kwalifikowalności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wydatków</w:t>
      </w:r>
      <w:r w:rsidR="0002044C" w:rsidRPr="00EB7EAA">
        <w:rPr>
          <w:rFonts w:eastAsia="Times New Roman" w:cs="Arial"/>
          <w:b/>
          <w:szCs w:val="24"/>
          <w:lang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74"/>
        <w:gridCol w:w="1153"/>
        <w:gridCol w:w="1740"/>
        <w:gridCol w:w="1522"/>
        <w:gridCol w:w="1679"/>
      </w:tblGrid>
      <w:tr w:rsidR="00926ED6" w:rsidRPr="00EB7EAA" w14:paraId="2F5FFEF4" w14:textId="77777777" w:rsidTr="00041B20">
        <w:trPr>
          <w:jc w:val="center"/>
        </w:trPr>
        <w:tc>
          <w:tcPr>
            <w:tcW w:w="588" w:type="dxa"/>
            <w:vAlign w:val="center"/>
          </w:tcPr>
          <w:p w14:paraId="25270CE2" w14:textId="77777777" w:rsidR="00926ED6" w:rsidRPr="00EB7EAA" w:rsidRDefault="00B54E3C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74" w:type="dxa"/>
            <w:vAlign w:val="center"/>
          </w:tcPr>
          <w:p w14:paraId="6626040E" w14:textId="77777777"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Kategoria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B54E3C" w:rsidRPr="00EB7EAA">
              <w:rPr>
                <w:b/>
                <w:sz w:val="20"/>
                <w:szCs w:val="20"/>
              </w:rPr>
              <w:t>kosztu</w:t>
            </w:r>
          </w:p>
        </w:tc>
        <w:tc>
          <w:tcPr>
            <w:tcW w:w="1153" w:type="dxa"/>
            <w:vAlign w:val="center"/>
          </w:tcPr>
          <w:p w14:paraId="5B7671A3" w14:textId="77777777"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Całkowite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center"/>
          </w:tcPr>
          <w:p w14:paraId="69F27146" w14:textId="77777777"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niekwalifikowalne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522" w:type="dxa"/>
            <w:vAlign w:val="center"/>
          </w:tcPr>
          <w:p w14:paraId="14F07C53" w14:textId="77777777"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kwalifikowalne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(C)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=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(A)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679" w:type="dxa"/>
            <w:vAlign w:val="center"/>
          </w:tcPr>
          <w:p w14:paraId="68DE3339" w14:textId="77777777"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Wartość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procentowa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kwalifikowalnych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kosztów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do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kosztów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kwalifikowalnych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ogół</w:t>
            </w:r>
            <w:r w:rsidRPr="00EB7EAA">
              <w:rPr>
                <w:b/>
                <w:sz w:val="20"/>
                <w:szCs w:val="20"/>
              </w:rPr>
              <w:t>em</w:t>
            </w:r>
          </w:p>
        </w:tc>
      </w:tr>
      <w:tr w:rsidR="00926ED6" w:rsidRPr="00EB7EAA" w14:paraId="795D86D7" w14:textId="77777777" w:rsidTr="00041B20">
        <w:trPr>
          <w:jc w:val="center"/>
        </w:trPr>
        <w:tc>
          <w:tcPr>
            <w:tcW w:w="588" w:type="dxa"/>
          </w:tcPr>
          <w:p w14:paraId="10C4AA0A" w14:textId="77777777" w:rsidR="00926ED6" w:rsidRPr="00EB7EAA" w:rsidRDefault="00B54E3C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14:paraId="63BBFB7A" w14:textId="77777777" w:rsidR="00926ED6" w:rsidRPr="00EB7EAA" w:rsidRDefault="0006218A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Dokumentacja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projektowa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(opracowanie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planów/programów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np.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GPR,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PGN,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itp.,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studium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wykonalności,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budowlanego,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lastRenderedPageBreak/>
              <w:t>programu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funkcjonalno</w:t>
            </w:r>
            <w:r w:rsidR="00380534">
              <w:rPr>
                <w:sz w:val="20"/>
                <w:szCs w:val="20"/>
              </w:rPr>
              <w:t>-</w:t>
            </w:r>
            <w:r w:rsidRPr="00EB7EAA">
              <w:rPr>
                <w:sz w:val="20"/>
                <w:szCs w:val="20"/>
              </w:rPr>
              <w:t>użytkowego,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itp.</w:t>
            </w:r>
            <w:r w:rsidRPr="00EB7EAA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14:paraId="3DAB59DA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71A2D490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EC18663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14D30FF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14:paraId="634D0737" w14:textId="77777777" w:rsidTr="00041B20">
        <w:trPr>
          <w:jc w:val="center"/>
        </w:trPr>
        <w:tc>
          <w:tcPr>
            <w:tcW w:w="588" w:type="dxa"/>
          </w:tcPr>
          <w:p w14:paraId="140AEF01" w14:textId="77777777" w:rsidR="00926ED6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74" w:type="dxa"/>
          </w:tcPr>
          <w:p w14:paraId="027FA773" w14:textId="77777777" w:rsidR="00926ED6" w:rsidRPr="00EB7EAA" w:rsidRDefault="0085490C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Zakup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gruntu</w:t>
            </w:r>
          </w:p>
        </w:tc>
        <w:tc>
          <w:tcPr>
            <w:tcW w:w="1153" w:type="dxa"/>
          </w:tcPr>
          <w:p w14:paraId="76478F16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3249348F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3D721C34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DB0D0F4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14:paraId="0975836D" w14:textId="77777777" w:rsidTr="00041B20">
        <w:trPr>
          <w:jc w:val="center"/>
        </w:trPr>
        <w:tc>
          <w:tcPr>
            <w:tcW w:w="588" w:type="dxa"/>
          </w:tcPr>
          <w:p w14:paraId="1D1ABC5F" w14:textId="77777777" w:rsidR="00926ED6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14:paraId="25B957DD" w14:textId="77777777"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Roboty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budowlane</w:t>
            </w:r>
          </w:p>
        </w:tc>
        <w:tc>
          <w:tcPr>
            <w:tcW w:w="1153" w:type="dxa"/>
          </w:tcPr>
          <w:p w14:paraId="526C7A79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26A34ED9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62149AF8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B8A0884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96BFB" w:rsidRPr="00EB7EAA" w14:paraId="6265B598" w14:textId="77777777" w:rsidTr="00041B20">
        <w:trPr>
          <w:jc w:val="center"/>
        </w:trPr>
        <w:tc>
          <w:tcPr>
            <w:tcW w:w="588" w:type="dxa"/>
          </w:tcPr>
          <w:p w14:paraId="7C3FAD68" w14:textId="77777777"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31EC738E" w14:textId="77777777" w:rsidR="00896BFB" w:rsidRPr="00EB7EAA" w:rsidRDefault="0006218A" w:rsidP="00380534">
            <w:pPr>
              <w:spacing w:after="0" w:line="240" w:lineRule="auto"/>
              <w:ind w:left="279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tym:</w:t>
            </w:r>
          </w:p>
        </w:tc>
        <w:tc>
          <w:tcPr>
            <w:tcW w:w="1153" w:type="dxa"/>
          </w:tcPr>
          <w:p w14:paraId="5719E354" w14:textId="77777777"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1732F811" w14:textId="77777777"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196362E5" w14:textId="77777777"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4D59FF2" w14:textId="77777777"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218A" w:rsidRPr="00EB7EAA" w14:paraId="4982EFE6" w14:textId="77777777" w:rsidTr="00041B20">
        <w:trPr>
          <w:jc w:val="center"/>
        </w:trPr>
        <w:tc>
          <w:tcPr>
            <w:tcW w:w="588" w:type="dxa"/>
          </w:tcPr>
          <w:p w14:paraId="72F46846" w14:textId="77777777"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25514064" w14:textId="77777777" w:rsidR="0006218A" w:rsidRPr="00EB7EAA" w:rsidRDefault="0006218A" w:rsidP="000122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wydatki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podlegające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limitom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określonym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</w:t>
            </w:r>
            <w:r w:rsidR="00DA0F6D">
              <w:rPr>
                <w:b/>
                <w:sz w:val="20"/>
                <w:szCs w:val="20"/>
              </w:rPr>
              <w:t> </w:t>
            </w:r>
            <w:r w:rsidR="006E4DE7" w:rsidRPr="00EB7EAA">
              <w:rPr>
                <w:b/>
                <w:sz w:val="20"/>
                <w:szCs w:val="20"/>
              </w:rPr>
              <w:t>RPOWŚ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6E4DE7" w:rsidRPr="00EB7EAA">
              <w:rPr>
                <w:b/>
                <w:sz w:val="20"/>
                <w:szCs w:val="20"/>
              </w:rPr>
              <w:t>2014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415E30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6E4DE7" w:rsidRPr="00EB7EAA">
              <w:rPr>
                <w:b/>
                <w:sz w:val="20"/>
                <w:szCs w:val="20"/>
              </w:rPr>
              <w:t>2020,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SZOOP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RPOWŚ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2014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415E30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2020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lub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w</w:t>
            </w:r>
            <w:r w:rsidR="00DA0F6D">
              <w:rPr>
                <w:b/>
                <w:sz w:val="20"/>
                <w:szCs w:val="20"/>
              </w:rPr>
              <w:t> </w:t>
            </w:r>
            <w:r w:rsidR="0070183D" w:rsidRPr="00EB7EAA">
              <w:rPr>
                <w:b/>
                <w:sz w:val="20"/>
                <w:szCs w:val="20"/>
              </w:rPr>
              <w:t>regulaminie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konkursu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(wymienić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jakie?)</w:t>
            </w:r>
            <w:r w:rsidR="00E75620">
              <w:rPr>
                <w:rStyle w:val="Odwoanieprzypisudolnego"/>
                <w:b/>
                <w:sz w:val="20"/>
                <w:szCs w:val="20"/>
              </w:rPr>
              <w:footnoteReference w:id="9"/>
            </w:r>
          </w:p>
        </w:tc>
        <w:tc>
          <w:tcPr>
            <w:tcW w:w="1153" w:type="dxa"/>
          </w:tcPr>
          <w:p w14:paraId="391FF2A7" w14:textId="77777777"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19ACBE99" w14:textId="77777777"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1318A377" w14:textId="77777777"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343C254" w14:textId="77777777"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14:paraId="294DE213" w14:textId="77777777" w:rsidTr="00041B20">
        <w:trPr>
          <w:jc w:val="center"/>
        </w:trPr>
        <w:tc>
          <w:tcPr>
            <w:tcW w:w="588" w:type="dxa"/>
          </w:tcPr>
          <w:p w14:paraId="3F3A2D29" w14:textId="77777777" w:rsidR="00926ED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14:paraId="35E3593C" w14:textId="77777777"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Nadzór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inwestorski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(np.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nadzór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inżynierski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archeologiczny,</w:t>
            </w:r>
            <w:r w:rsidR="00656606">
              <w:rPr>
                <w:sz w:val="20"/>
                <w:szCs w:val="20"/>
              </w:rPr>
              <w:t xml:space="preserve"> </w:t>
            </w:r>
            <w:r w:rsidR="00332AB1" w:rsidRPr="00EB7EAA">
              <w:rPr>
                <w:sz w:val="20"/>
                <w:szCs w:val="20"/>
              </w:rPr>
              <w:t>konserwatorski</w:t>
            </w:r>
            <w:r w:rsidR="00896BFB" w:rsidRPr="00EB7EAA">
              <w:rPr>
                <w:sz w:val="20"/>
                <w:szCs w:val="20"/>
              </w:rPr>
              <w:t>,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autorski</w:t>
            </w:r>
            <w:r w:rsidR="003F3A90" w:rsidRPr="00EB7EAA">
              <w:rPr>
                <w:sz w:val="20"/>
                <w:szCs w:val="20"/>
              </w:rPr>
              <w:t>,</w:t>
            </w:r>
            <w:r w:rsidR="00656606">
              <w:rPr>
                <w:sz w:val="20"/>
                <w:szCs w:val="20"/>
              </w:rPr>
              <w:t xml:space="preserve"> </w:t>
            </w:r>
            <w:r w:rsidR="003F3A90" w:rsidRPr="00EB7EAA">
              <w:rPr>
                <w:sz w:val="20"/>
                <w:szCs w:val="20"/>
              </w:rPr>
              <w:t>itp.</w:t>
            </w:r>
            <w:r w:rsidR="00896BFB" w:rsidRPr="00EB7EAA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14:paraId="6DE31661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3BDE814C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62131667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14F4670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F3A90" w:rsidRPr="00EB7EAA" w14:paraId="6CFA6527" w14:textId="77777777" w:rsidTr="00041B20">
        <w:trPr>
          <w:jc w:val="center"/>
        </w:trPr>
        <w:tc>
          <w:tcPr>
            <w:tcW w:w="588" w:type="dxa"/>
          </w:tcPr>
          <w:p w14:paraId="2BE6ACE6" w14:textId="77777777" w:rsidR="003F3A90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14:paraId="4B83BDA9" w14:textId="77777777" w:rsidR="003F3A90" w:rsidRPr="00EB7EAA" w:rsidRDefault="00174786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Środki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trwałe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oraz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wartości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niematerialne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i</w:t>
            </w:r>
            <w:r w:rsidR="00C210BA">
              <w:rPr>
                <w:sz w:val="20"/>
                <w:szCs w:val="20"/>
              </w:rPr>
              <w:t> </w:t>
            </w:r>
            <w:r w:rsidR="0006218A" w:rsidRPr="00EB7EAA">
              <w:rPr>
                <w:sz w:val="20"/>
                <w:szCs w:val="20"/>
              </w:rPr>
              <w:t>prawne</w:t>
            </w:r>
          </w:p>
        </w:tc>
        <w:tc>
          <w:tcPr>
            <w:tcW w:w="1153" w:type="dxa"/>
          </w:tcPr>
          <w:p w14:paraId="180FC886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308C8523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19DC5BFF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5C1F5AB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740D" w:rsidRPr="00EB7EAA" w14:paraId="6D02DFF1" w14:textId="77777777" w:rsidTr="00041B20">
        <w:trPr>
          <w:jc w:val="center"/>
        </w:trPr>
        <w:tc>
          <w:tcPr>
            <w:tcW w:w="588" w:type="dxa"/>
          </w:tcPr>
          <w:p w14:paraId="5D0786AC" w14:textId="77777777" w:rsidR="008F740D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</w:p>
        </w:tc>
        <w:tc>
          <w:tcPr>
            <w:tcW w:w="1974" w:type="dxa"/>
          </w:tcPr>
          <w:p w14:paraId="04C657EB" w14:textId="77777777" w:rsidR="008F740D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Wkład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rzeczowy</w:t>
            </w:r>
          </w:p>
        </w:tc>
        <w:tc>
          <w:tcPr>
            <w:tcW w:w="1153" w:type="dxa"/>
          </w:tcPr>
          <w:p w14:paraId="48278745" w14:textId="77777777"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2F7D450C" w14:textId="77777777"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73CEB52C" w14:textId="77777777"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C0954B1" w14:textId="77777777"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14:paraId="2AF2B27B" w14:textId="77777777" w:rsidTr="00041B20">
        <w:trPr>
          <w:jc w:val="center"/>
        </w:trPr>
        <w:tc>
          <w:tcPr>
            <w:tcW w:w="588" w:type="dxa"/>
          </w:tcPr>
          <w:p w14:paraId="225611FF" w14:textId="77777777" w:rsidR="00926ED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7</w:t>
            </w:r>
          </w:p>
        </w:tc>
        <w:tc>
          <w:tcPr>
            <w:tcW w:w="1974" w:type="dxa"/>
          </w:tcPr>
          <w:p w14:paraId="5AFD1769" w14:textId="77777777"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Promocja</w:t>
            </w:r>
          </w:p>
        </w:tc>
        <w:tc>
          <w:tcPr>
            <w:tcW w:w="1153" w:type="dxa"/>
          </w:tcPr>
          <w:p w14:paraId="3A7804B1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2958C335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D4597FA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1E435DB" w14:textId="77777777"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F3A90" w:rsidRPr="00EB7EAA" w14:paraId="0C1E2292" w14:textId="77777777" w:rsidTr="00041B20">
        <w:trPr>
          <w:jc w:val="center"/>
        </w:trPr>
        <w:tc>
          <w:tcPr>
            <w:tcW w:w="588" w:type="dxa"/>
          </w:tcPr>
          <w:p w14:paraId="3BB5DAB3" w14:textId="77777777" w:rsidR="003F3A90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8</w:t>
            </w:r>
          </w:p>
        </w:tc>
        <w:tc>
          <w:tcPr>
            <w:tcW w:w="1974" w:type="dxa"/>
          </w:tcPr>
          <w:p w14:paraId="4A93D07B" w14:textId="77777777" w:rsidR="003F3A90" w:rsidRPr="00EB7EAA" w:rsidRDefault="0006218A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Koszty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zarządzania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</w:t>
            </w:r>
            <w:r w:rsidR="00332AB1" w:rsidRPr="00EB7EAA">
              <w:rPr>
                <w:sz w:val="20"/>
                <w:szCs w:val="20"/>
              </w:rPr>
              <w:t>związane</w:t>
            </w:r>
            <w:r w:rsidR="00656606">
              <w:rPr>
                <w:sz w:val="20"/>
                <w:szCs w:val="20"/>
              </w:rPr>
              <w:t xml:space="preserve"> </w:t>
            </w:r>
            <w:r w:rsidR="00332AB1" w:rsidRPr="00EB7EAA">
              <w:rPr>
                <w:sz w:val="20"/>
                <w:szCs w:val="20"/>
              </w:rPr>
              <w:t>z</w:t>
            </w:r>
            <w:r w:rsidR="0001227B">
              <w:rPr>
                <w:sz w:val="20"/>
                <w:szCs w:val="20"/>
              </w:rPr>
              <w:t> </w:t>
            </w:r>
            <w:r w:rsidR="003F3A90" w:rsidRPr="00EB7EAA">
              <w:rPr>
                <w:sz w:val="20"/>
                <w:szCs w:val="20"/>
              </w:rPr>
              <w:t>angażowaniem</w:t>
            </w:r>
            <w:r w:rsidR="00656606">
              <w:rPr>
                <w:sz w:val="20"/>
                <w:szCs w:val="20"/>
              </w:rPr>
              <w:t xml:space="preserve"> </w:t>
            </w:r>
            <w:r w:rsidR="003F3A90" w:rsidRPr="00EB7EAA">
              <w:rPr>
                <w:sz w:val="20"/>
                <w:szCs w:val="20"/>
              </w:rPr>
              <w:t>personelu</w:t>
            </w:r>
            <w:r w:rsidR="00BB542B" w:rsidRPr="00EB7EAA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14:paraId="23B1D527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784B042B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70EBDF01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3D70D18" w14:textId="77777777"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460E" w:rsidRPr="00EB7EAA" w14:paraId="2DA2A9BC" w14:textId="77777777" w:rsidTr="00041B20">
        <w:trPr>
          <w:jc w:val="center"/>
        </w:trPr>
        <w:tc>
          <w:tcPr>
            <w:tcW w:w="588" w:type="dxa"/>
          </w:tcPr>
          <w:p w14:paraId="7B20EE23" w14:textId="77777777" w:rsidR="0097460E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9</w:t>
            </w:r>
          </w:p>
        </w:tc>
        <w:tc>
          <w:tcPr>
            <w:tcW w:w="1974" w:type="dxa"/>
          </w:tcPr>
          <w:p w14:paraId="395CB046" w14:textId="77777777" w:rsidR="0097460E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Opłaty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finansowe,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doradztwo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inne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usługi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związane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01227B">
              <w:rPr>
                <w:sz w:val="20"/>
                <w:szCs w:val="20"/>
              </w:rPr>
              <w:t> </w:t>
            </w:r>
            <w:r w:rsidRPr="00EB7EAA">
              <w:rPr>
                <w:sz w:val="20"/>
                <w:szCs w:val="20"/>
              </w:rPr>
              <w:t>realizacją</w:t>
            </w:r>
            <w:r w:rsidR="006566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</w:tcPr>
          <w:p w14:paraId="33E33523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2E7A5309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25D05983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6B6E1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460E" w:rsidRPr="00EB7EAA" w14:paraId="59F9DA61" w14:textId="77777777" w:rsidTr="00041B20">
        <w:trPr>
          <w:jc w:val="center"/>
        </w:trPr>
        <w:tc>
          <w:tcPr>
            <w:tcW w:w="588" w:type="dxa"/>
          </w:tcPr>
          <w:p w14:paraId="54565C86" w14:textId="77777777" w:rsidR="0097460E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14:paraId="1028689C" w14:textId="77777777" w:rsidR="0097460E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Cross</w:t>
            </w:r>
            <w:r w:rsidR="0001227B">
              <w:rPr>
                <w:sz w:val="20"/>
                <w:szCs w:val="20"/>
              </w:rPr>
              <w:t>-</w:t>
            </w:r>
            <w:proofErr w:type="spellStart"/>
            <w:r w:rsidRPr="00EB7EAA">
              <w:rPr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153" w:type="dxa"/>
          </w:tcPr>
          <w:p w14:paraId="7941D9AC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6E4893BE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7158CE64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6F2C198" w14:textId="77777777"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855C6" w:rsidRPr="00EB7EAA" w14:paraId="0BCD7ABA" w14:textId="77777777" w:rsidTr="00041B20">
        <w:trPr>
          <w:jc w:val="center"/>
        </w:trPr>
        <w:tc>
          <w:tcPr>
            <w:tcW w:w="588" w:type="dxa"/>
          </w:tcPr>
          <w:p w14:paraId="613BA64F" w14:textId="77777777" w:rsidR="000855C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11</w:t>
            </w:r>
          </w:p>
        </w:tc>
        <w:tc>
          <w:tcPr>
            <w:tcW w:w="1974" w:type="dxa"/>
          </w:tcPr>
          <w:p w14:paraId="48681431" w14:textId="77777777" w:rsidR="000855C6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Inne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(wymienić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jakie?)</w:t>
            </w:r>
          </w:p>
        </w:tc>
        <w:tc>
          <w:tcPr>
            <w:tcW w:w="1153" w:type="dxa"/>
          </w:tcPr>
          <w:p w14:paraId="5BDB806E" w14:textId="77777777"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0EDAD3A1" w14:textId="77777777"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7BF58EE4" w14:textId="77777777"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677C501" w14:textId="77777777"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14:paraId="2783E7A2" w14:textId="77777777" w:rsidTr="00041B20">
        <w:trPr>
          <w:jc w:val="center"/>
        </w:trPr>
        <w:tc>
          <w:tcPr>
            <w:tcW w:w="588" w:type="dxa"/>
          </w:tcPr>
          <w:p w14:paraId="64E9F05C" w14:textId="77777777" w:rsidR="00361643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11</w:t>
            </w:r>
            <w:r w:rsidR="00361643" w:rsidRPr="00EB7EAA">
              <w:rPr>
                <w:sz w:val="20"/>
                <w:szCs w:val="20"/>
              </w:rPr>
              <w:t>.1</w:t>
            </w:r>
          </w:p>
        </w:tc>
        <w:tc>
          <w:tcPr>
            <w:tcW w:w="1974" w:type="dxa"/>
          </w:tcPr>
          <w:p w14:paraId="7DB6DB80" w14:textId="77777777"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B0FB4C9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54976374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ECF2A4A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C9627DB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14:paraId="17A40DF9" w14:textId="77777777" w:rsidTr="00041B20">
        <w:trPr>
          <w:jc w:val="center"/>
        </w:trPr>
        <w:tc>
          <w:tcPr>
            <w:tcW w:w="588" w:type="dxa"/>
          </w:tcPr>
          <w:p w14:paraId="0A59FB0F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…</w:t>
            </w:r>
          </w:p>
        </w:tc>
        <w:tc>
          <w:tcPr>
            <w:tcW w:w="1974" w:type="dxa"/>
          </w:tcPr>
          <w:p w14:paraId="390133AF" w14:textId="77777777"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E28941E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75C7310A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75B14D6E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DF47E75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14:paraId="014CDFB2" w14:textId="77777777" w:rsidTr="00041B20">
        <w:trPr>
          <w:jc w:val="center"/>
        </w:trPr>
        <w:tc>
          <w:tcPr>
            <w:tcW w:w="588" w:type="dxa"/>
          </w:tcPr>
          <w:p w14:paraId="0BB8B72B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</w:t>
            </w:r>
          </w:p>
        </w:tc>
        <w:tc>
          <w:tcPr>
            <w:tcW w:w="1974" w:type="dxa"/>
          </w:tcPr>
          <w:p w14:paraId="48579874" w14:textId="77777777"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3807DF1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536C84A7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529EF69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4D24279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14:paraId="4817E5DA" w14:textId="77777777" w:rsidTr="00041B20">
        <w:trPr>
          <w:jc w:val="center"/>
        </w:trPr>
        <w:tc>
          <w:tcPr>
            <w:tcW w:w="588" w:type="dxa"/>
          </w:tcPr>
          <w:p w14:paraId="7D2E6AEE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n+1</w:t>
            </w:r>
          </w:p>
        </w:tc>
        <w:tc>
          <w:tcPr>
            <w:tcW w:w="1974" w:type="dxa"/>
          </w:tcPr>
          <w:p w14:paraId="78C9204C" w14:textId="77777777"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6E9084E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44F08C8D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5B4CCC7F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C4E04B9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14:paraId="3BF53875" w14:textId="77777777" w:rsidTr="00041B20">
        <w:trPr>
          <w:jc w:val="center"/>
        </w:trPr>
        <w:tc>
          <w:tcPr>
            <w:tcW w:w="588" w:type="dxa"/>
          </w:tcPr>
          <w:p w14:paraId="57D9C252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5800B3BB" w14:textId="77777777" w:rsidR="00361643" w:rsidRPr="00EB7EAA" w:rsidRDefault="003B5B22" w:rsidP="000122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53" w:type="dxa"/>
          </w:tcPr>
          <w:p w14:paraId="2DFBF503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35F33308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DF9838F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838F3FD" w14:textId="77777777"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983AA9C" w14:textId="77777777" w:rsidR="008C78E1" w:rsidRPr="00EB7EAA" w:rsidRDefault="0002044C" w:rsidP="00EB7EAA">
      <w:pPr>
        <w:spacing w:after="0"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przyjętych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kosztów</w:t>
      </w:r>
      <w:r w:rsidR="00F4209C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dot.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8F740D" w:rsidRPr="00EB7EAA">
        <w:rPr>
          <w:rFonts w:eastAsia="Times New Roman" w:cs="Arial"/>
          <w:szCs w:val="24"/>
          <w:lang w:eastAsia="pl-PL"/>
        </w:rPr>
        <w:t>m.in.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robót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budowlanych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8F740D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zakupu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środków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trwałych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wymagane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jest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podanie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sposo</w:t>
      </w:r>
      <w:r w:rsidR="0093792E" w:rsidRPr="00EB7EAA">
        <w:rPr>
          <w:rFonts w:eastAsia="Times New Roman" w:cs="Arial"/>
          <w:szCs w:val="24"/>
          <w:lang w:eastAsia="pl-PL"/>
        </w:rPr>
        <w:t>b</w:t>
      </w:r>
      <w:r w:rsidRPr="00EB7EAA">
        <w:rPr>
          <w:rFonts w:eastAsia="Times New Roman" w:cs="Arial"/>
          <w:szCs w:val="24"/>
          <w:lang w:eastAsia="pl-PL"/>
        </w:rPr>
        <w:t>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A4CA3" w:rsidRPr="00EB7EAA">
        <w:rPr>
          <w:rFonts w:eastAsia="Times New Roman" w:cs="Arial"/>
          <w:szCs w:val="24"/>
          <w:lang w:eastAsia="pl-PL"/>
        </w:rPr>
        <w:t>oszacowania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A4CA3" w:rsidRPr="00EB7EAA">
        <w:rPr>
          <w:rFonts w:eastAsia="Times New Roman" w:cs="Arial"/>
          <w:szCs w:val="24"/>
          <w:lang w:eastAsia="pl-PL"/>
        </w:rPr>
        <w:t>(</w:t>
      </w:r>
      <w:r w:rsidR="0093792E" w:rsidRPr="00EB7EAA">
        <w:rPr>
          <w:rFonts w:eastAsia="Times New Roman" w:cs="Arial"/>
          <w:szCs w:val="24"/>
          <w:lang w:eastAsia="pl-PL"/>
        </w:rPr>
        <w:t>kosztorys</w:t>
      </w:r>
      <w:r w:rsidR="006B09ED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93792E" w:rsidRPr="00EB7EAA">
        <w:rPr>
          <w:rFonts w:eastAsia="Times New Roman" w:cs="Arial"/>
          <w:bCs/>
          <w:szCs w:val="24"/>
          <w:lang w:eastAsia="pl-PL"/>
        </w:rPr>
        <w:t>dokument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potwierdzający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podstawę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wyceny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np.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oferty</w:t>
      </w:r>
      <w:r w:rsidRPr="00EB7EAA">
        <w:rPr>
          <w:rFonts w:eastAsia="Times New Roman" w:cs="Arial"/>
          <w:bCs/>
          <w:szCs w:val="24"/>
          <w:lang w:eastAsia="pl-PL"/>
        </w:rPr>
        <w:t>,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proofErr w:type="spellStart"/>
      <w:r w:rsidRPr="00EB7EAA">
        <w:rPr>
          <w:rFonts w:eastAsia="Times New Roman" w:cs="Arial"/>
          <w:bCs/>
          <w:szCs w:val="24"/>
          <w:lang w:eastAsia="pl-PL"/>
        </w:rPr>
        <w:t>itp</w:t>
      </w:r>
      <w:proofErr w:type="spellEnd"/>
      <w:r w:rsidR="0093792E" w:rsidRPr="00EB7EAA">
        <w:rPr>
          <w:rFonts w:eastAsia="Times New Roman" w:cs="Arial"/>
          <w:bCs/>
          <w:szCs w:val="24"/>
          <w:lang w:eastAsia="pl-PL"/>
        </w:rPr>
        <w:t>).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</w:p>
    <w:p w14:paraId="3963C4C6" w14:textId="77777777" w:rsidR="006A54DE" w:rsidRPr="00EB7EAA" w:rsidRDefault="008A02D2" w:rsidP="00EB7EAA">
      <w:pPr>
        <w:pStyle w:val="Nagwek2"/>
        <w:jc w:val="both"/>
        <w:rPr>
          <w:i/>
        </w:rPr>
      </w:pPr>
      <w:bookmarkStart w:id="8" w:name="_Toc21079577"/>
      <w:r w:rsidRPr="00EB7EAA">
        <w:lastRenderedPageBreak/>
        <w:t>Lokalizacja</w:t>
      </w:r>
      <w:r w:rsidR="00656606">
        <w:t xml:space="preserve"> </w:t>
      </w:r>
      <w:r w:rsidRPr="00EB7EAA">
        <w:t>projektu</w:t>
      </w:r>
      <w:bookmarkEnd w:id="8"/>
    </w:p>
    <w:p w14:paraId="4380B439" w14:textId="77777777" w:rsidR="00926142" w:rsidRPr="00EB7EAA" w:rsidRDefault="00967798" w:rsidP="00EB7EAA">
      <w:pPr>
        <w:pStyle w:val="Bezodstpw"/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wskazać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lokalizację</w:t>
      </w:r>
      <w:r w:rsidR="00656606">
        <w:rPr>
          <w:sz w:val="24"/>
          <w:szCs w:val="24"/>
        </w:rPr>
        <w:t xml:space="preserve"> </w:t>
      </w:r>
      <w:r w:rsidR="002469D6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mapy/szkicu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lokalizującego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projekt)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i</w:t>
      </w:r>
      <w:r w:rsidR="00041B20">
        <w:rPr>
          <w:sz w:val="24"/>
          <w:szCs w:val="24"/>
        </w:rPr>
        <w:t> </w:t>
      </w:r>
      <w:r w:rsidR="00BB5FE0" w:rsidRPr="00EB7EAA">
        <w:rPr>
          <w:sz w:val="24"/>
          <w:szCs w:val="24"/>
        </w:rPr>
        <w:t>opisać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charakterystyczne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cechy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lokalizacj</w:t>
      </w:r>
      <w:r w:rsidR="00453BD3" w:rsidRPr="00EB7EAA">
        <w:rPr>
          <w:sz w:val="24"/>
          <w:szCs w:val="24"/>
        </w:rPr>
        <w:t>i,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wpływ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osiągnięcie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celów</w:t>
      </w:r>
      <w:r w:rsidR="006D62C4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W</w:t>
      </w:r>
      <w:r w:rsidR="00041B20">
        <w:rPr>
          <w:sz w:val="24"/>
          <w:szCs w:val="24"/>
        </w:rPr>
        <w:t> </w:t>
      </w:r>
      <w:r w:rsidR="00BB5FE0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kilku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zadań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inwestycyjnych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wskazać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i</w:t>
      </w:r>
      <w:r w:rsidR="00041B20">
        <w:rPr>
          <w:rFonts w:eastAsia="Times New Roman" w:cs="Arial"/>
          <w:sz w:val="24"/>
          <w:szCs w:val="24"/>
          <w:lang w:eastAsia="pl-PL"/>
        </w:rPr>
        <w:t> 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opisać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lokalizację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poszczególnych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zadań</w:t>
      </w:r>
      <w:r w:rsidR="00A27F12" w:rsidRPr="00EB7EAA">
        <w:rPr>
          <w:rFonts w:eastAsia="Times New Roman" w:cs="Arial"/>
          <w:sz w:val="24"/>
          <w:szCs w:val="24"/>
          <w:lang w:eastAsia="pl-PL"/>
        </w:rPr>
        <w:t>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Jeżeli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inwestycja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infrastrukturalna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zlokalizowana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obszarach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b/>
          <w:sz w:val="24"/>
          <w:szCs w:val="24"/>
          <w:lang w:eastAsia="pl-PL"/>
        </w:rPr>
        <w:t>zagrożonych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b/>
          <w:sz w:val="24"/>
          <w:szCs w:val="24"/>
          <w:lang w:eastAsia="pl-PL"/>
        </w:rPr>
        <w:t>powodzią</w:t>
      </w:r>
      <w:r w:rsidR="0011370D" w:rsidRPr="00EB7EAA">
        <w:rPr>
          <w:rFonts w:eastAsia="Times New Roman" w:cs="Arial"/>
          <w:b/>
          <w:sz w:val="24"/>
          <w:szCs w:val="24"/>
          <w:lang w:eastAsia="pl-PL"/>
        </w:rPr>
        <w:t>,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które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to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zostały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przedstawione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mapach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zagrożenia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powodziowego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mapach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ryzyka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powodziowego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opublikowan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e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stronie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internetowej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 w:rsidR="004971AA" w:rsidRPr="00EB7EAA">
        <w:rPr>
          <w:rFonts w:eastAsia="Times New Roman" w:cs="Arial"/>
          <w:sz w:val="24"/>
          <w:szCs w:val="24"/>
          <w:lang w:eastAsia="pl-PL"/>
        </w:rPr>
        <w:t>Hydroportalu</w:t>
      </w:r>
      <w:proofErr w:type="spellEnd"/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(</w:t>
      </w:r>
      <w:hyperlink r:id="rId14" w:history="1">
        <w:r w:rsidR="00F07EFC" w:rsidRPr="001D265B">
          <w:rPr>
            <w:rStyle w:val="Hipercze"/>
            <w:rFonts w:eastAsia="Times New Roman" w:cs="Arial"/>
            <w:sz w:val="24"/>
            <w:szCs w:val="24"/>
            <w:lang w:eastAsia="pl-PL"/>
          </w:rPr>
          <w:t>http://mapy.isok.gov.pl/imap/</w:t>
        </w:r>
      </w:hyperlink>
      <w:r w:rsidR="004971AA" w:rsidRPr="00EB7EAA">
        <w:rPr>
          <w:rFonts w:eastAsia="Times New Roman" w:cs="Arial"/>
          <w:sz w:val="24"/>
          <w:szCs w:val="24"/>
          <w:lang w:eastAsia="pl-PL"/>
        </w:rPr>
        <w:t>)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wówczas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takie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przedsięwzięcie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przedstawić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tych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mapach.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3B8ED5CF" w14:textId="77777777" w:rsidR="006A54DE" w:rsidRPr="00EB7EAA" w:rsidRDefault="00055119" w:rsidP="00EB7EAA">
      <w:pPr>
        <w:pStyle w:val="Nagwek2"/>
        <w:jc w:val="both"/>
        <w:rPr>
          <w:rFonts w:eastAsia="ArialNarrow,Bold"/>
          <w:i/>
        </w:rPr>
      </w:pPr>
      <w:bookmarkStart w:id="9" w:name="_Toc21079578"/>
      <w:r w:rsidRPr="00EB7EAA">
        <w:rPr>
          <w:rFonts w:eastAsia="ArialNarrow,Bold"/>
        </w:rPr>
        <w:t>Analiza</w:t>
      </w:r>
      <w:r w:rsidR="00656606">
        <w:rPr>
          <w:rFonts w:eastAsia="ArialNarrow,Bold"/>
        </w:rPr>
        <w:t xml:space="preserve"> </w:t>
      </w:r>
      <w:r w:rsidRPr="00EB7EAA">
        <w:rPr>
          <w:rFonts w:eastAsia="ArialNarrow,Bold"/>
        </w:rPr>
        <w:t>pomocy</w:t>
      </w:r>
      <w:r w:rsidR="00656606">
        <w:rPr>
          <w:rFonts w:eastAsia="ArialNarrow,Bold"/>
        </w:rPr>
        <w:t xml:space="preserve"> </w:t>
      </w:r>
      <w:r w:rsidRPr="00EB7EAA">
        <w:rPr>
          <w:rFonts w:eastAsia="ArialNarrow,Bold"/>
        </w:rPr>
        <w:t>publicznej</w:t>
      </w:r>
      <w:bookmarkEnd w:id="9"/>
    </w:p>
    <w:p w14:paraId="71AD3DA3" w14:textId="77777777" w:rsidR="006A54DE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wymaganym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967798" w:rsidRPr="00EB7EAA">
        <w:rPr>
          <w:sz w:val="24"/>
          <w:szCs w:val="24"/>
        </w:rPr>
        <w:t>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projekcie.</w:t>
      </w:r>
      <w:r w:rsidR="00656606">
        <w:rPr>
          <w:sz w:val="24"/>
          <w:szCs w:val="24"/>
        </w:rPr>
        <w:t xml:space="preserve"> </w:t>
      </w:r>
    </w:p>
    <w:p w14:paraId="1E229572" w14:textId="77777777"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przepisem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art.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107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ust.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1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TFUE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podmiotu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prowadzącego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działalność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gospodarczą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jednocześnie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warunki:</w:t>
      </w:r>
    </w:p>
    <w:p w14:paraId="2FCBFA60" w14:textId="77777777" w:rsidR="00C51187" w:rsidRPr="00EB7EAA" w:rsidRDefault="002469D6" w:rsidP="00265A33">
      <w:pPr>
        <w:pStyle w:val="Bezodstpw"/>
        <w:keepNext/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U</w:t>
      </w:r>
      <w:r w:rsidR="00C51187" w:rsidRPr="00EB7EAA">
        <w:rPr>
          <w:sz w:val="24"/>
          <w:szCs w:val="24"/>
        </w:rPr>
        <w:t>dzielane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państwo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ze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środków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państwowych</w:t>
      </w:r>
      <w:r w:rsidR="00C51187" w:rsidRPr="00EB7EAA">
        <w:rPr>
          <w:sz w:val="24"/>
          <w:szCs w:val="24"/>
        </w:rPr>
        <w:t>,</w:t>
      </w:r>
    </w:p>
    <w:p w14:paraId="3F51050C" w14:textId="77777777" w:rsidR="00C51187" w:rsidRPr="00EB7EAA" w:rsidRDefault="002469D6" w:rsidP="00265A33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</w:t>
      </w:r>
      <w:r w:rsidR="00C51187" w:rsidRPr="00EB7EAA">
        <w:rPr>
          <w:sz w:val="24"/>
          <w:szCs w:val="24"/>
        </w:rPr>
        <w:t>rzedsiębiorstwo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uzyskuje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przysporzenie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warunkach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korzystniejszych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od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oferowanych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rynku</w:t>
      </w:r>
      <w:r w:rsidR="00C51187" w:rsidRPr="00EB7EAA">
        <w:rPr>
          <w:sz w:val="24"/>
          <w:szCs w:val="24"/>
        </w:rPr>
        <w:t>,</w:t>
      </w:r>
    </w:p>
    <w:p w14:paraId="223B84D6" w14:textId="77777777" w:rsidR="00C51187" w:rsidRPr="00EB7EAA" w:rsidRDefault="002469D6" w:rsidP="00265A33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M</w:t>
      </w:r>
      <w:r w:rsidR="00C51187"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charakter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selektywny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(uprzywilejowuje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przedsiębiorstwo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przedsiębiorstwa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albo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produkcję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towarów),</w:t>
      </w:r>
    </w:p>
    <w:p w14:paraId="6063D9A9" w14:textId="77777777" w:rsidR="006A54DE" w:rsidRPr="00EB7EAA" w:rsidRDefault="002469D6" w:rsidP="00265A33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rStyle w:val="Pogrubienie"/>
          <w:sz w:val="24"/>
          <w:szCs w:val="24"/>
        </w:rPr>
        <w:t>G</w:t>
      </w:r>
      <w:r w:rsidR="00C51187" w:rsidRPr="00EB7EAA">
        <w:rPr>
          <w:rStyle w:val="Pogrubienie"/>
          <w:sz w:val="24"/>
          <w:szCs w:val="24"/>
        </w:rPr>
        <w:t>rozi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zakłóceniem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zakłóca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konkurencję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wpływa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wymianę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handlową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między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państwami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członkowskimi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UE</w:t>
      </w:r>
      <w:r w:rsidR="00C51187" w:rsidRPr="00EB7EAA">
        <w:rPr>
          <w:sz w:val="24"/>
          <w:szCs w:val="24"/>
        </w:rPr>
        <w:t>.</w:t>
      </w:r>
    </w:p>
    <w:p w14:paraId="71A21304" w14:textId="77777777"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rozstrzygnięcia,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konkretne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E3622A">
        <w:rPr>
          <w:sz w:val="24"/>
          <w:szCs w:val="24"/>
        </w:rPr>
        <w:t> 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107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TFUE,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konkretnym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  <w:u w:val="single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wymienione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przesłanki.</w:t>
      </w:r>
    </w:p>
    <w:p w14:paraId="71C06C7F" w14:textId="77777777" w:rsidR="006A54DE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wystąpi,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ww.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spełniona.</w:t>
      </w:r>
      <w:r w:rsidR="00656606">
        <w:rPr>
          <w:sz w:val="24"/>
          <w:szCs w:val="24"/>
        </w:rPr>
        <w:t xml:space="preserve"> </w:t>
      </w:r>
    </w:p>
    <w:p w14:paraId="7E0F41A3" w14:textId="77777777" w:rsidR="00C51187" w:rsidRPr="00EB7EAA" w:rsidRDefault="00C51187" w:rsidP="00EB7EAA">
      <w:pPr>
        <w:pStyle w:val="Bezodstpw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EB7EAA">
        <w:rPr>
          <w:sz w:val="24"/>
          <w:szCs w:val="24"/>
        </w:rPr>
        <w:t>Wskazać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„przedsiębiorstwa”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zdefiniowane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</w:t>
      </w:r>
      <w:r w:rsidR="008A48ED">
        <w:rPr>
          <w:sz w:val="24"/>
          <w:szCs w:val="24"/>
        </w:rPr>
        <w:t>ykule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rozporządzenia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Komisji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(UE)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nr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651/2014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dnia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17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czerwca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2014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r.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uznające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niektóre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rodzaje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pomocy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zgodne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rynkiem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wewnętrznym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w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zastosowaniu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art.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107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i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108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Traktatu</w:t>
      </w:r>
      <w:r w:rsidR="00656606">
        <w:rPr>
          <w:bCs/>
          <w:i/>
          <w:iCs/>
          <w:sz w:val="24"/>
          <w:szCs w:val="24"/>
        </w:rPr>
        <w:t xml:space="preserve"> </w:t>
      </w:r>
      <w:r w:rsidR="004F21A4" w:rsidRPr="00EB7EAA">
        <w:rPr>
          <w:bCs/>
          <w:i/>
          <w:iCs/>
          <w:sz w:val="24"/>
          <w:szCs w:val="24"/>
        </w:rPr>
        <w:t>(tzw.</w:t>
      </w:r>
      <w:r w:rsidR="00656606">
        <w:rPr>
          <w:bCs/>
          <w:i/>
          <w:iCs/>
          <w:sz w:val="24"/>
          <w:szCs w:val="24"/>
        </w:rPr>
        <w:t xml:space="preserve"> </w:t>
      </w:r>
      <w:r w:rsidR="004F21A4" w:rsidRPr="00EB7EAA">
        <w:rPr>
          <w:bCs/>
          <w:i/>
          <w:iCs/>
          <w:sz w:val="24"/>
          <w:szCs w:val="24"/>
        </w:rPr>
        <w:t>GBER</w:t>
      </w:r>
      <w:r w:rsidR="004F21A4" w:rsidRPr="00EB7EAA">
        <w:rPr>
          <w:rStyle w:val="Odwoanieprzypisudolnego"/>
          <w:bCs/>
          <w:i/>
          <w:iCs/>
          <w:sz w:val="24"/>
          <w:szCs w:val="24"/>
        </w:rPr>
        <w:footnoteReference w:id="10"/>
      </w:r>
      <w:r w:rsidR="004F21A4" w:rsidRPr="00EB7EAA">
        <w:rPr>
          <w:bCs/>
          <w:i/>
          <w:iCs/>
          <w:sz w:val="24"/>
          <w:szCs w:val="24"/>
        </w:rPr>
        <w:t>).</w:t>
      </w:r>
      <w:r w:rsidR="00656606">
        <w:rPr>
          <w:bCs/>
          <w:i/>
          <w:iCs/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ww.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</w:t>
      </w:r>
      <w:r w:rsidRPr="00EB7EAA">
        <w:rPr>
          <w:rStyle w:val="Uwydatnienie"/>
          <w:sz w:val="24"/>
          <w:szCs w:val="24"/>
        </w:rPr>
        <w:t>za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przedsiębiorstwo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uważa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podmiot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gospodarczą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bez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względu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na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jego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formę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prawną.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Zalicza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tu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</w:t>
      </w:r>
      <w:r w:rsidR="00E91CF0">
        <w:rPr>
          <w:rStyle w:val="Uwydatnienie"/>
          <w:sz w:val="24"/>
          <w:szCs w:val="24"/>
        </w:rPr>
        <w:t> </w:t>
      </w:r>
      <w:r w:rsidRPr="00EB7EAA">
        <w:rPr>
          <w:rStyle w:val="Uwydatnienie"/>
          <w:sz w:val="24"/>
          <w:szCs w:val="24"/>
        </w:rPr>
        <w:t>szczególności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osoby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na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własny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rachunek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oraz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firmy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rodzinne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zajmujące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rzemiosłem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lub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inną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działalnością,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także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spółki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lub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konsorcja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regularną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gospodarczą.”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zauważyć,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gospodarczą,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niezależnie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od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ich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formy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prawnej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oraz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źródeł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(orzeczenie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C</w:t>
      </w:r>
      <w:r w:rsidR="00656606">
        <w:rPr>
          <w:i/>
          <w:sz w:val="24"/>
          <w:szCs w:val="24"/>
        </w:rPr>
        <w:t xml:space="preserve"> </w:t>
      </w:r>
      <w:r w:rsidR="00415E30">
        <w:rPr>
          <w:i/>
          <w:sz w:val="24"/>
          <w:szCs w:val="24"/>
        </w:rPr>
        <w:t>–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41/90</w:t>
      </w:r>
      <w:r w:rsidR="00656606">
        <w:rPr>
          <w:i/>
          <w:sz w:val="24"/>
          <w:szCs w:val="24"/>
        </w:rPr>
        <w:t xml:space="preserve"> </w:t>
      </w:r>
      <w:proofErr w:type="spellStart"/>
      <w:r w:rsidRPr="00A54893">
        <w:rPr>
          <w:i/>
          <w:sz w:val="24"/>
          <w:szCs w:val="24"/>
        </w:rPr>
        <w:t>Höfner</w:t>
      </w:r>
      <w:proofErr w:type="spellEnd"/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proofErr w:type="spellStart"/>
      <w:r w:rsidRPr="00A54893">
        <w:rPr>
          <w:i/>
          <w:sz w:val="24"/>
          <w:szCs w:val="24"/>
        </w:rPr>
        <w:t>Elser</w:t>
      </w:r>
      <w:proofErr w:type="spellEnd"/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przeciwko</w:t>
      </w:r>
      <w:r w:rsidR="00656606">
        <w:rPr>
          <w:sz w:val="24"/>
          <w:szCs w:val="24"/>
        </w:rPr>
        <w:t xml:space="preserve"> </w:t>
      </w:r>
      <w:proofErr w:type="spellStart"/>
      <w:r w:rsidRPr="00A54893">
        <w:rPr>
          <w:i/>
          <w:sz w:val="24"/>
          <w:szCs w:val="24"/>
        </w:rPr>
        <w:t>Macrotron</w:t>
      </w:r>
      <w:proofErr w:type="spellEnd"/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GmbH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1991,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1979).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nienastawione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zysk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</w:t>
      </w:r>
      <w:r w:rsidRPr="00EB7EAA">
        <w:rPr>
          <w:rStyle w:val="Uwydatnienie"/>
          <w:sz w:val="24"/>
          <w:szCs w:val="24"/>
        </w:rPr>
        <w:t>non</w:t>
      </w:r>
      <w:r w:rsidR="00E91CF0">
        <w:rPr>
          <w:rStyle w:val="Uwydatnienie"/>
          <w:sz w:val="24"/>
          <w:szCs w:val="24"/>
        </w:rPr>
        <w:t>-</w:t>
      </w:r>
      <w:r w:rsidRPr="00EB7EAA">
        <w:rPr>
          <w:rStyle w:val="Uwydatnienie"/>
          <w:sz w:val="24"/>
          <w:szCs w:val="24"/>
        </w:rPr>
        <w:t>profit</w:t>
      </w:r>
      <w:r w:rsidR="00656606">
        <w:rPr>
          <w:rStyle w:val="Uwydatnienie"/>
          <w:sz w:val="24"/>
          <w:szCs w:val="24"/>
        </w:rPr>
        <w:t xml:space="preserve"> </w:t>
      </w:r>
      <w:proofErr w:type="spellStart"/>
      <w:r w:rsidRPr="00EB7EAA">
        <w:rPr>
          <w:rStyle w:val="Uwydatnienie"/>
          <w:sz w:val="24"/>
          <w:szCs w:val="24"/>
        </w:rPr>
        <w:t>organisation</w:t>
      </w:r>
      <w:proofErr w:type="spellEnd"/>
      <w:r w:rsidR="00656606">
        <w:rPr>
          <w:sz w:val="24"/>
          <w:szCs w:val="24"/>
        </w:rPr>
        <w:t xml:space="preserve"> </w:t>
      </w:r>
      <w:r w:rsidR="0047641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orzeczenie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września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1999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Albany,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67/96,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1999,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5751).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także,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znajdują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publicznego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gospodarczą.</w:t>
      </w:r>
      <w:r w:rsidR="00656606">
        <w:rPr>
          <w:sz w:val="24"/>
          <w:szCs w:val="24"/>
        </w:rPr>
        <w:t xml:space="preserve"> </w:t>
      </w:r>
    </w:p>
    <w:p w14:paraId="2A561402" w14:textId="77777777"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przedsiębiorcy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orzecznictwem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Europejskiej,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oferowanie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towarów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i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usług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rynku</w:t>
      </w:r>
      <w:bookmarkStart w:id="10" w:name="_ftnref2"/>
      <w:bookmarkEnd w:id="10"/>
      <w:r w:rsidR="002469D6" w:rsidRPr="00EB7EAA">
        <w:rPr>
          <w:rStyle w:val="Odwoanieprzypisudolnego"/>
          <w:b/>
          <w:bCs/>
          <w:sz w:val="24"/>
          <w:szCs w:val="24"/>
        </w:rPr>
        <w:footnoteReference w:id="11"/>
      </w:r>
      <w:r w:rsidR="002469D6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zarobkowego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kierują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rynku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rzeczywistej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potencjalnej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konkurencji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podmiotów.</w:t>
      </w:r>
    </w:p>
    <w:p w14:paraId="434A6C10" w14:textId="77777777" w:rsidR="005C0085" w:rsidRPr="00EB7EAA" w:rsidRDefault="00CE685B" w:rsidP="00EB7EAA">
      <w:pPr>
        <w:jc w:val="both"/>
        <w:rPr>
          <w:b/>
          <w:szCs w:val="24"/>
        </w:rPr>
      </w:pPr>
      <w:bookmarkStart w:id="11" w:name="_ftn2"/>
      <w:bookmarkEnd w:id="11"/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przypadku,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gdy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ramach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projektu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zostanie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zidentyfikowana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pomoc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publiczna,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szczególnej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analizy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wymaga</w:t>
      </w:r>
      <w:r w:rsidR="00A02516" w:rsidRPr="00EB7EAA">
        <w:rPr>
          <w:rFonts w:cs="Arial"/>
          <w:b/>
          <w:szCs w:val="24"/>
        </w:rPr>
        <w:t>ć</w:t>
      </w:r>
      <w:r w:rsidR="00656606">
        <w:rPr>
          <w:rFonts w:cs="Arial"/>
          <w:b/>
          <w:szCs w:val="24"/>
        </w:rPr>
        <w:t xml:space="preserve"> </w:t>
      </w:r>
      <w:r w:rsidR="00A02516" w:rsidRPr="00EB7EAA">
        <w:rPr>
          <w:rFonts w:cs="Arial"/>
          <w:b/>
          <w:szCs w:val="24"/>
        </w:rPr>
        <w:t>będzie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wystąpienie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tzw.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bCs/>
          <w:szCs w:val="24"/>
        </w:rPr>
        <w:t>efektu</w:t>
      </w:r>
      <w:r w:rsidR="00656606">
        <w:rPr>
          <w:rFonts w:cs="Arial"/>
          <w:b/>
          <w:bCs/>
          <w:szCs w:val="24"/>
        </w:rPr>
        <w:t xml:space="preserve"> </w:t>
      </w:r>
      <w:r w:rsidRPr="00EB7EAA">
        <w:rPr>
          <w:rFonts w:cs="Arial"/>
          <w:b/>
          <w:bCs/>
          <w:szCs w:val="24"/>
        </w:rPr>
        <w:t>zachęty</w:t>
      </w:r>
      <w:r w:rsidRPr="00EB7EAA">
        <w:rPr>
          <w:rFonts w:cs="Arial"/>
          <w:b/>
          <w:szCs w:val="24"/>
        </w:rPr>
        <w:t>.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Sytuacje,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1332E3">
        <w:rPr>
          <w:rFonts w:cs="Arial"/>
          <w:b/>
          <w:szCs w:val="24"/>
        </w:rPr>
        <w:t> </w:t>
      </w:r>
      <w:r w:rsidRPr="00EB7EAA">
        <w:rPr>
          <w:rFonts w:cs="Arial"/>
          <w:b/>
          <w:szCs w:val="24"/>
        </w:rPr>
        <w:t>których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pomoc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publiczna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wywołuje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efekt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zachęty,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zostały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opisane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artykule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6</w:t>
      </w:r>
      <w:r w:rsidR="00656606">
        <w:rPr>
          <w:rFonts w:cs="Arial"/>
          <w:b/>
          <w:szCs w:val="24"/>
        </w:rPr>
        <w:t xml:space="preserve"> </w:t>
      </w:r>
      <w:r w:rsidR="00933D17" w:rsidRPr="00EB7EAA">
        <w:rPr>
          <w:b/>
          <w:szCs w:val="24"/>
        </w:rPr>
        <w:t>rozporządzenia</w:t>
      </w:r>
      <w:r w:rsidR="00656606">
        <w:rPr>
          <w:b/>
          <w:szCs w:val="24"/>
        </w:rPr>
        <w:t xml:space="preserve"> </w:t>
      </w:r>
      <w:r w:rsidR="00A02516" w:rsidRPr="00EB7EAA">
        <w:rPr>
          <w:b/>
          <w:szCs w:val="24"/>
        </w:rPr>
        <w:t>ogólnego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sprawie</w:t>
      </w:r>
      <w:r w:rsidR="00656606">
        <w:rPr>
          <w:b/>
          <w:szCs w:val="24"/>
        </w:rPr>
        <w:t xml:space="preserve"> </w:t>
      </w:r>
      <w:proofErr w:type="spellStart"/>
      <w:r w:rsidR="00933D17" w:rsidRPr="00EB7EAA">
        <w:rPr>
          <w:b/>
          <w:szCs w:val="24"/>
        </w:rPr>
        <w:t>wyłączeń</w:t>
      </w:r>
      <w:proofErr w:type="spellEnd"/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blokowych.</w:t>
      </w:r>
    </w:p>
    <w:p w14:paraId="19208BC4" w14:textId="77777777" w:rsidR="006A54DE" w:rsidRPr="00EB7EAA" w:rsidRDefault="00D326D4" w:rsidP="000029BB">
      <w:pPr>
        <w:pStyle w:val="Nagwek1"/>
        <w:numPr>
          <w:ilvl w:val="0"/>
          <w:numId w:val="2"/>
        </w:numPr>
        <w:jc w:val="both"/>
      </w:pPr>
      <w:bookmarkStart w:id="12" w:name="_Toc21079579"/>
      <w:r w:rsidRPr="00EB7EAA">
        <w:t>Definicja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Pr="00EB7EAA">
        <w:t>projektu</w:t>
      </w:r>
      <w:bookmarkEnd w:id="12"/>
    </w:p>
    <w:p w14:paraId="109E8B8A" w14:textId="77777777" w:rsidR="00D326D4" w:rsidRPr="00EB7EAA" w:rsidRDefault="00D326D4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Zdefiniowanie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niezbędnym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służącym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wyjścia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jakiejkolwiek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inwestycji.</w:t>
      </w:r>
      <w:r w:rsidR="00656606">
        <w:rPr>
          <w:sz w:val="24"/>
          <w:szCs w:val="24"/>
        </w:rPr>
        <w:t xml:space="preserve"> </w:t>
      </w:r>
    </w:p>
    <w:p w14:paraId="2D5BDC7D" w14:textId="77777777" w:rsidR="006A54DE" w:rsidRPr="00EB7EAA" w:rsidRDefault="00B75526" w:rsidP="00CF6440">
      <w:pPr>
        <w:pStyle w:val="Akapitzlist"/>
        <w:numPr>
          <w:ilvl w:val="1"/>
          <w:numId w:val="2"/>
        </w:numPr>
      </w:pPr>
      <w:r w:rsidRPr="00EB7EAA">
        <w:t>Cele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muszą</w:t>
      </w:r>
      <w:r w:rsidR="00656606">
        <w:t xml:space="preserve"> </w:t>
      </w:r>
      <w:r w:rsidRPr="00EB7EAA">
        <w:t>być</w:t>
      </w:r>
      <w:r w:rsidR="00656606">
        <w:t xml:space="preserve"> </w:t>
      </w:r>
      <w:r w:rsidRPr="00EB7EAA">
        <w:t>zgodne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celami</w:t>
      </w:r>
      <w:r w:rsidR="00656606">
        <w:t xml:space="preserve"> </w:t>
      </w:r>
      <w:r w:rsidRPr="00EB7EAA">
        <w:t>odpowiedniego</w:t>
      </w:r>
      <w:r w:rsidR="00656606">
        <w:t xml:space="preserve"> </w:t>
      </w:r>
      <w:r w:rsidRPr="00EB7EAA">
        <w:t>priorytetu/działania</w:t>
      </w:r>
      <w:r w:rsidR="00656606">
        <w:t xml:space="preserve"> </w:t>
      </w:r>
      <w:r w:rsidRPr="00EB7EAA">
        <w:t>RPOWŚ</w:t>
      </w:r>
      <w:r w:rsidR="00656606">
        <w:t xml:space="preserve"> </w:t>
      </w:r>
      <w:r w:rsidRPr="00EB7EAA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2020</w:t>
      </w:r>
      <w:r w:rsidR="005B2F0A" w:rsidRPr="00EB7EAA">
        <w:t>,</w:t>
      </w:r>
      <w:r w:rsidR="00656606">
        <w:t xml:space="preserve"> </w:t>
      </w:r>
      <w:r w:rsidR="00225387" w:rsidRPr="00EB7EAA">
        <w:t>w</w:t>
      </w:r>
      <w:r w:rsidR="00656606">
        <w:t xml:space="preserve"> </w:t>
      </w:r>
      <w:r w:rsidR="00225387" w:rsidRPr="00EB7EAA">
        <w:t>ramach</w:t>
      </w:r>
      <w:r w:rsidR="00656606">
        <w:t xml:space="preserve"> </w:t>
      </w:r>
      <w:r w:rsidR="00225387" w:rsidRPr="00EB7EAA">
        <w:t>którego</w:t>
      </w:r>
      <w:r w:rsidR="00656606">
        <w:t xml:space="preserve"> </w:t>
      </w:r>
      <w:r w:rsidR="00225387" w:rsidRPr="00EB7EAA">
        <w:t>składany</w:t>
      </w:r>
      <w:r w:rsidR="00656606">
        <w:t xml:space="preserve"> </w:t>
      </w:r>
      <w:r w:rsidR="00225387" w:rsidRPr="00EB7EAA">
        <w:t>jest</w:t>
      </w:r>
      <w:r w:rsidR="00656606">
        <w:t xml:space="preserve"> </w:t>
      </w:r>
      <w:r w:rsidR="00225387" w:rsidRPr="00EB7EAA">
        <w:t>dany</w:t>
      </w:r>
      <w:r w:rsidR="00656606">
        <w:t xml:space="preserve"> </w:t>
      </w:r>
      <w:r w:rsidR="00225387" w:rsidRPr="00EB7EAA">
        <w:t>wniosek</w:t>
      </w:r>
      <w:r w:rsidRPr="00EB7EAA">
        <w:t>.</w:t>
      </w:r>
      <w:r w:rsidR="00656606">
        <w:t xml:space="preserve"> </w:t>
      </w:r>
      <w:r w:rsidR="00646CF9" w:rsidRPr="00EB7EAA">
        <w:t>Beneficjent</w:t>
      </w:r>
      <w:r w:rsidR="00656606">
        <w:t xml:space="preserve"> </w:t>
      </w:r>
      <w:r w:rsidR="00646CF9" w:rsidRPr="00EB7EAA">
        <w:t>powinien</w:t>
      </w:r>
      <w:r w:rsidR="00656606">
        <w:t xml:space="preserve"> </w:t>
      </w:r>
      <w:r w:rsidR="00646CF9" w:rsidRPr="00EB7EAA">
        <w:t>zidentyfikować</w:t>
      </w:r>
      <w:r w:rsidR="00656606">
        <w:t xml:space="preserve"> </w:t>
      </w:r>
      <w:r w:rsidR="00646CF9" w:rsidRPr="00EB7EAA">
        <w:t>cele</w:t>
      </w:r>
      <w:r w:rsidR="00656606">
        <w:t xml:space="preserve"> </w:t>
      </w:r>
      <w:r w:rsidR="00646CF9" w:rsidRPr="00EB7EAA">
        <w:t>projektu</w:t>
      </w:r>
      <w:r w:rsidR="00656606">
        <w:t xml:space="preserve"> </w:t>
      </w:r>
      <w:r w:rsidR="00646CF9" w:rsidRPr="00EB7EAA">
        <w:t>i</w:t>
      </w:r>
      <w:r w:rsidR="00656606">
        <w:t xml:space="preserve"> </w:t>
      </w:r>
      <w:r w:rsidR="00646CF9" w:rsidRPr="00EB7EAA">
        <w:t>określić</w:t>
      </w:r>
      <w:r w:rsidR="00656606">
        <w:t xml:space="preserve"> </w:t>
      </w:r>
      <w:r w:rsidR="00646CF9" w:rsidRPr="00EB7EAA">
        <w:t>konsekw</w:t>
      </w:r>
      <w:r w:rsidR="005B2F0A" w:rsidRPr="00EB7EAA">
        <w:t>encje</w:t>
      </w:r>
      <w:r w:rsidR="00656606">
        <w:t xml:space="preserve"> </w:t>
      </w:r>
      <w:r w:rsidR="005B2F0A" w:rsidRPr="00EB7EAA">
        <w:t>zrealizowanego</w:t>
      </w:r>
      <w:r w:rsidR="00656606">
        <w:t xml:space="preserve"> </w:t>
      </w:r>
      <w:r w:rsidR="005B2F0A" w:rsidRPr="00EB7EAA">
        <w:t>projektu</w:t>
      </w:r>
      <w:r w:rsidR="00656606">
        <w:t xml:space="preserve"> </w:t>
      </w:r>
      <w:r w:rsidR="005B2F0A" w:rsidRPr="00EB7EAA">
        <w:t>–</w:t>
      </w:r>
      <w:r w:rsidR="00656606">
        <w:t xml:space="preserve"> </w:t>
      </w:r>
      <w:r w:rsidR="00646CF9" w:rsidRPr="00EB7EAA">
        <w:t>długofalowe</w:t>
      </w:r>
      <w:r w:rsidR="00656606">
        <w:t xml:space="preserve"> </w:t>
      </w:r>
      <w:r w:rsidR="00646CF9" w:rsidRPr="00EB7EAA">
        <w:t>korzyści</w:t>
      </w:r>
      <w:r w:rsidR="00656606">
        <w:t xml:space="preserve"> </w:t>
      </w:r>
      <w:r w:rsidR="00646CF9" w:rsidRPr="00EB7EAA">
        <w:t>osiągnięte</w:t>
      </w:r>
      <w:r w:rsidR="00656606">
        <w:t xml:space="preserve"> </w:t>
      </w:r>
      <w:r w:rsidR="00646CF9" w:rsidRPr="00EB7EAA">
        <w:t>w</w:t>
      </w:r>
      <w:r w:rsidR="00656606">
        <w:t xml:space="preserve"> </w:t>
      </w:r>
      <w:r w:rsidR="00646CF9" w:rsidRPr="00EB7EAA">
        <w:t>danym</w:t>
      </w:r>
      <w:r w:rsidR="00656606">
        <w:t xml:space="preserve"> </w:t>
      </w:r>
      <w:r w:rsidR="00646CF9" w:rsidRPr="00EB7EAA">
        <w:t>sektorze.</w:t>
      </w:r>
      <w:r w:rsidR="00656606">
        <w:t xml:space="preserve"> </w:t>
      </w:r>
      <w:r w:rsidR="00646CF9" w:rsidRPr="00EB7EAA">
        <w:t>Należy</w:t>
      </w:r>
      <w:r w:rsidR="00656606">
        <w:t xml:space="preserve"> </w:t>
      </w:r>
      <w:r w:rsidR="00646CF9" w:rsidRPr="00EB7EAA">
        <w:t>wyszczególnić</w:t>
      </w:r>
      <w:r w:rsidR="00656606">
        <w:t xml:space="preserve"> </w:t>
      </w:r>
      <w:r w:rsidR="00646CF9" w:rsidRPr="00EB7EAA">
        <w:t>cele,</w:t>
      </w:r>
      <w:r w:rsidR="00656606">
        <w:t xml:space="preserve"> </w:t>
      </w:r>
      <w:r w:rsidR="00646CF9" w:rsidRPr="00EB7EAA">
        <w:t>z</w:t>
      </w:r>
      <w:r w:rsidR="00656606">
        <w:t xml:space="preserve"> </w:t>
      </w:r>
      <w:r w:rsidR="00646CF9" w:rsidRPr="00EB7EAA">
        <w:t>którymi</w:t>
      </w:r>
      <w:r w:rsidR="00656606">
        <w:t xml:space="preserve"> </w:t>
      </w:r>
      <w:r w:rsidR="00646CF9" w:rsidRPr="00EB7EAA">
        <w:t>projekt</w:t>
      </w:r>
      <w:r w:rsidR="00656606">
        <w:t xml:space="preserve"> </w:t>
      </w:r>
      <w:r w:rsidR="00EA1979" w:rsidRPr="00EB7EAA">
        <w:t>jest</w:t>
      </w:r>
      <w:r w:rsidR="00656606">
        <w:t xml:space="preserve"> </w:t>
      </w:r>
      <w:r w:rsidR="00EA1979" w:rsidRPr="00EB7EAA">
        <w:t>zgodny</w:t>
      </w:r>
      <w:r w:rsidR="00656606">
        <w:t xml:space="preserve"> </w:t>
      </w:r>
      <w:r w:rsidR="00EA1979" w:rsidRPr="00EB7EAA">
        <w:t>i</w:t>
      </w:r>
      <w:r w:rsidR="00656606">
        <w:t xml:space="preserve"> </w:t>
      </w:r>
      <w:r w:rsidR="00EA1979" w:rsidRPr="00EB7EAA">
        <w:t>krótko</w:t>
      </w:r>
      <w:r w:rsidR="00656606">
        <w:t xml:space="preserve"> </w:t>
      </w:r>
      <w:r w:rsidR="00EA1979" w:rsidRPr="00EB7EAA">
        <w:t>uzasadnić.</w:t>
      </w:r>
      <w:r w:rsidR="00656606">
        <w:t xml:space="preserve"> </w:t>
      </w:r>
      <w:r w:rsidR="00EA1979" w:rsidRPr="00EB7EAA">
        <w:t>Cele</w:t>
      </w:r>
      <w:r w:rsidR="00656606">
        <w:t xml:space="preserve"> </w:t>
      </w:r>
      <w:r w:rsidR="00EA1979" w:rsidRPr="00EB7EAA">
        <w:t>projektu</w:t>
      </w:r>
      <w:r w:rsidR="002D100C" w:rsidRPr="00EB7EAA">
        <w:t>,</w:t>
      </w:r>
      <w:r w:rsidR="00656606">
        <w:t xml:space="preserve"> </w:t>
      </w:r>
      <w:r w:rsidR="002D100C" w:rsidRPr="00EB7EAA">
        <w:t>zarówno</w:t>
      </w:r>
      <w:r w:rsidR="00656606">
        <w:t xml:space="preserve"> </w:t>
      </w:r>
      <w:r w:rsidR="002D100C" w:rsidRPr="00EB7EAA">
        <w:t>te</w:t>
      </w:r>
      <w:r w:rsidR="00656606">
        <w:t xml:space="preserve"> </w:t>
      </w:r>
      <w:r w:rsidR="00F4209C" w:rsidRPr="00EB7EAA">
        <w:t>bezpośrednie</w:t>
      </w:r>
      <w:r w:rsidR="00656606">
        <w:t xml:space="preserve"> </w:t>
      </w:r>
      <w:r w:rsidR="00F4209C" w:rsidRPr="00EB7EAA">
        <w:t>jak</w:t>
      </w:r>
      <w:r w:rsidR="00656606">
        <w:t xml:space="preserve"> </w:t>
      </w:r>
      <w:r w:rsidR="00F4209C" w:rsidRPr="00EB7EAA">
        <w:t>i</w:t>
      </w:r>
      <w:r w:rsidR="00656606">
        <w:t xml:space="preserve"> </w:t>
      </w:r>
      <w:r w:rsidR="00F4209C" w:rsidRPr="00EB7EAA">
        <w:t>pośrednie,</w:t>
      </w:r>
      <w:r w:rsidR="00656606">
        <w:t xml:space="preserve"> </w:t>
      </w:r>
      <w:r w:rsidR="00EA1979" w:rsidRPr="00EB7EAA">
        <w:t>powinny</w:t>
      </w:r>
      <w:r w:rsidR="00656606">
        <w:t xml:space="preserve"> </w:t>
      </w:r>
      <w:r w:rsidR="00EA1979" w:rsidRPr="00EB7EAA">
        <w:t>zostać</w:t>
      </w:r>
      <w:r w:rsidR="00656606">
        <w:t xml:space="preserve"> </w:t>
      </w:r>
      <w:r w:rsidR="00EA1979" w:rsidRPr="00EB7EAA">
        <w:t>określone</w:t>
      </w:r>
      <w:r w:rsidR="00656606">
        <w:t xml:space="preserve"> </w:t>
      </w:r>
      <w:r w:rsidR="00EA1979" w:rsidRPr="00EB7EAA">
        <w:t>w</w:t>
      </w:r>
      <w:r w:rsidR="00656606">
        <w:t xml:space="preserve"> </w:t>
      </w:r>
      <w:r w:rsidR="00EA1979" w:rsidRPr="00EB7EAA">
        <w:t>oparciu</w:t>
      </w:r>
      <w:r w:rsidR="00656606">
        <w:t xml:space="preserve"> </w:t>
      </w:r>
      <w:r w:rsidR="00EA1979" w:rsidRPr="00EB7EAA">
        <w:t>o</w:t>
      </w:r>
      <w:r w:rsidR="001332E3">
        <w:t> </w:t>
      </w:r>
      <w:r w:rsidR="00EA1979" w:rsidRPr="00EB7EAA">
        <w:t>analizę</w:t>
      </w:r>
      <w:r w:rsidR="00656606">
        <w:t xml:space="preserve"> </w:t>
      </w:r>
      <w:r w:rsidR="00EA1979" w:rsidRPr="00EB7EAA">
        <w:t>potrzeb</w:t>
      </w:r>
      <w:r w:rsidR="00656606">
        <w:t xml:space="preserve"> </w:t>
      </w:r>
      <w:r w:rsidR="00EA1979" w:rsidRPr="00EB7EAA">
        <w:t>danego</w:t>
      </w:r>
      <w:r w:rsidR="00656606">
        <w:t xml:space="preserve"> </w:t>
      </w:r>
      <w:r w:rsidR="00EA1979" w:rsidRPr="00EB7EAA">
        <w:t>środowiska</w:t>
      </w:r>
      <w:r w:rsidR="00656606">
        <w:t xml:space="preserve"> </w:t>
      </w:r>
      <w:r w:rsidR="00EA1979" w:rsidRPr="00EB7EAA">
        <w:t>społeczno</w:t>
      </w:r>
      <w:r w:rsidR="001332E3">
        <w:t>-</w:t>
      </w:r>
      <w:r w:rsidR="00EA1979" w:rsidRPr="00EB7EAA">
        <w:t>gospodarczego.</w:t>
      </w:r>
      <w:r w:rsidR="00656606">
        <w:t xml:space="preserve"> </w:t>
      </w:r>
    </w:p>
    <w:p w14:paraId="38267975" w14:textId="77777777" w:rsidR="00335AD4" w:rsidRPr="00EB7EAA" w:rsidRDefault="00225387" w:rsidP="00CF6440">
      <w:pPr>
        <w:pStyle w:val="Akapitzlist"/>
        <w:numPr>
          <w:ilvl w:val="1"/>
          <w:numId w:val="2"/>
        </w:numPr>
      </w:pPr>
      <w:r w:rsidRPr="00EB7EAA">
        <w:t>Należy</w:t>
      </w:r>
      <w:r w:rsidR="00656606">
        <w:t xml:space="preserve"> </w:t>
      </w:r>
      <w:r w:rsidRPr="00EB7EAA">
        <w:t>odnieść</w:t>
      </w:r>
      <w:r w:rsidR="00656606">
        <w:t xml:space="preserve"> </w:t>
      </w:r>
      <w:r w:rsidRPr="00EB7EAA">
        <w:t>się</w:t>
      </w:r>
      <w:r w:rsidR="00656606">
        <w:t xml:space="preserve"> </w:t>
      </w:r>
      <w:r w:rsidR="00A3420C" w:rsidRPr="00EB7EAA">
        <w:t>m.in.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następujących</w:t>
      </w:r>
      <w:r w:rsidR="00656606">
        <w:t xml:space="preserve"> </w:t>
      </w:r>
      <w:r w:rsidRPr="00EB7EAA">
        <w:t>kwestii</w:t>
      </w:r>
      <w:r w:rsidR="00656606">
        <w:t xml:space="preserve"> </w:t>
      </w:r>
      <w:r w:rsidR="006B1620" w:rsidRPr="00EB7EAA">
        <w:t>oraz</w:t>
      </w:r>
      <w:r w:rsidR="00656606">
        <w:t xml:space="preserve"> </w:t>
      </w:r>
      <w:r w:rsidR="006B1620" w:rsidRPr="00EB7EAA">
        <w:t>odpowiednio</w:t>
      </w:r>
      <w:r w:rsidR="00656606">
        <w:t xml:space="preserve"> </w:t>
      </w:r>
      <w:r w:rsidR="006B1620" w:rsidRPr="00EB7EAA">
        <w:t>je</w:t>
      </w:r>
      <w:r w:rsidR="00656606">
        <w:t xml:space="preserve"> </w:t>
      </w:r>
      <w:r w:rsidR="006B1620" w:rsidRPr="00EB7EAA">
        <w:t>uzasadnić</w:t>
      </w:r>
      <w:r w:rsidRPr="00EB7EAA">
        <w:t>:</w:t>
      </w:r>
      <w:r w:rsidR="00656606">
        <w:t xml:space="preserve"> </w:t>
      </w:r>
    </w:p>
    <w:p w14:paraId="370E535F" w14:textId="77777777" w:rsidR="00B63580" w:rsidRPr="00EB7EAA" w:rsidRDefault="00B63580" w:rsidP="00CF6440">
      <w:pPr>
        <w:pStyle w:val="Akapitzlist"/>
        <w:ind w:left="1276"/>
      </w:pPr>
      <w:r w:rsidRPr="00EB7EAA">
        <w:lastRenderedPageBreak/>
        <w:t>J</w:t>
      </w:r>
      <w:r w:rsidR="00D326D4" w:rsidRPr="00EB7EAA">
        <w:t>akie</w:t>
      </w:r>
      <w:r w:rsidR="00656606">
        <w:t xml:space="preserve"> </w:t>
      </w:r>
      <w:r w:rsidR="00D326D4" w:rsidRPr="00EB7EAA">
        <w:t>korzyści</w:t>
      </w:r>
      <w:r w:rsidR="00656606">
        <w:t xml:space="preserve"> </w:t>
      </w:r>
      <w:r w:rsidR="00D326D4" w:rsidRPr="00EB7EAA">
        <w:t>społeczno</w:t>
      </w:r>
      <w:r w:rsidR="001332E3">
        <w:t>-</w:t>
      </w:r>
      <w:r w:rsidR="00D326D4" w:rsidRPr="00EB7EAA">
        <w:t>gospodarcze</w:t>
      </w:r>
      <w:r w:rsidR="00656606">
        <w:t xml:space="preserve"> </w:t>
      </w:r>
      <w:r w:rsidR="00D326D4" w:rsidRPr="00EB7EAA">
        <w:t>można</w:t>
      </w:r>
      <w:r w:rsidR="00656606">
        <w:t xml:space="preserve"> </w:t>
      </w:r>
      <w:r w:rsidR="00D326D4" w:rsidRPr="00EB7EAA">
        <w:t>osi</w:t>
      </w:r>
      <w:r w:rsidR="007C7432" w:rsidRPr="00EB7EAA">
        <w:t>ągnąć</w:t>
      </w:r>
      <w:r w:rsidR="00656606">
        <w:t xml:space="preserve"> </w:t>
      </w:r>
      <w:r w:rsidR="007C7432" w:rsidRPr="00EB7EAA">
        <w:t>dzięki</w:t>
      </w:r>
      <w:r w:rsidR="00656606">
        <w:t xml:space="preserve"> </w:t>
      </w:r>
      <w:r w:rsidR="007C7432" w:rsidRPr="00EB7EAA">
        <w:t>wdrożeniu</w:t>
      </w:r>
      <w:r w:rsidR="00656606">
        <w:t xml:space="preserve"> </w:t>
      </w:r>
      <w:r w:rsidR="007C7432" w:rsidRPr="00EB7EAA">
        <w:t>projektu</w:t>
      </w:r>
      <w:r w:rsidRPr="00EB7EAA">
        <w:t>.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reguły</w:t>
      </w:r>
      <w:r w:rsidR="00656606">
        <w:t xml:space="preserve"> </w:t>
      </w:r>
      <w:r w:rsidRPr="00EB7EAA">
        <w:t>same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stanowią</w:t>
      </w:r>
      <w:r w:rsidR="00656606">
        <w:t xml:space="preserve"> </w:t>
      </w:r>
      <w:r w:rsidRPr="00EB7EAA">
        <w:t>wprost</w:t>
      </w:r>
      <w:r w:rsidR="00656606">
        <w:t xml:space="preserve"> </w:t>
      </w:r>
      <w:r w:rsidRPr="00EB7EAA">
        <w:t>korzyści</w:t>
      </w:r>
      <w:r w:rsidR="00656606">
        <w:t xml:space="preserve"> </w:t>
      </w:r>
      <w:r w:rsidRPr="00EB7EAA">
        <w:t>społeczno</w:t>
      </w:r>
      <w:r w:rsidR="001332E3">
        <w:t>-</w:t>
      </w:r>
      <w:r w:rsidRPr="00EB7EAA">
        <w:t>gospodarcze,</w:t>
      </w:r>
      <w:r w:rsidR="00656606">
        <w:t xml:space="preserve"> </w:t>
      </w:r>
      <w:r w:rsidRPr="00EB7EAA">
        <w:t>jak</w:t>
      </w:r>
      <w:r w:rsidR="00656606">
        <w:t xml:space="preserve"> </w:t>
      </w:r>
      <w:r w:rsidRPr="00EB7EAA">
        <w:t>np.</w:t>
      </w:r>
      <w:r w:rsidR="00656606">
        <w:t xml:space="preserve"> </w:t>
      </w:r>
      <w:r w:rsidRPr="00EB7EAA">
        <w:t>obniżenie</w:t>
      </w:r>
      <w:r w:rsidR="00656606">
        <w:t xml:space="preserve"> </w:t>
      </w:r>
      <w:r w:rsidRPr="00EB7EAA">
        <w:t>kosztów</w:t>
      </w:r>
      <w:r w:rsidR="00656606">
        <w:t xml:space="preserve"> </w:t>
      </w:r>
      <w:r w:rsidRPr="00EB7EAA">
        <w:t>operacyjnych,</w:t>
      </w:r>
      <w:r w:rsidR="00656606">
        <w:t xml:space="preserve"> </w:t>
      </w:r>
      <w:r w:rsidRPr="00EB7EAA">
        <w:t>redukcja</w:t>
      </w:r>
      <w:r w:rsidR="00656606">
        <w:t xml:space="preserve"> </w:t>
      </w:r>
      <w:r w:rsidRPr="00EB7EAA">
        <w:t>emisji</w:t>
      </w:r>
      <w:r w:rsidR="00656606">
        <w:t xml:space="preserve"> </w:t>
      </w:r>
      <w:r w:rsidRPr="00EB7EAA">
        <w:t>gazów</w:t>
      </w:r>
      <w:r w:rsidR="00656606">
        <w:t xml:space="preserve"> </w:t>
      </w:r>
      <w:r w:rsidRPr="00EB7EAA">
        <w:t>cieplarnianych,</w:t>
      </w:r>
      <w:r w:rsidR="00656606">
        <w:t xml:space="preserve"> </w:t>
      </w:r>
      <w:r w:rsidRPr="00EB7EAA">
        <w:t>zmniejszenie</w:t>
      </w:r>
      <w:r w:rsidR="00656606">
        <w:t xml:space="preserve"> </w:t>
      </w:r>
      <w:r w:rsidRPr="00EB7EAA">
        <w:t>stopnia</w:t>
      </w:r>
      <w:r w:rsidR="00656606">
        <w:t xml:space="preserve"> </w:t>
      </w:r>
      <w:r w:rsidRPr="00EB7EAA">
        <w:t>degradacji</w:t>
      </w:r>
      <w:r w:rsidR="00656606">
        <w:t xml:space="preserve"> </w:t>
      </w:r>
      <w:r w:rsidRPr="00EB7EAA">
        <w:t>środowiska</w:t>
      </w:r>
      <w:r w:rsidR="00656606">
        <w:t xml:space="preserve"> </w:t>
      </w:r>
      <w:r w:rsidRPr="00EB7EAA">
        <w:t>naturalnego,</w:t>
      </w:r>
      <w:r w:rsidR="00656606">
        <w:t xml:space="preserve"> </w:t>
      </w:r>
      <w:r w:rsidRPr="00EB7EAA">
        <w:t>itp.</w:t>
      </w:r>
    </w:p>
    <w:p w14:paraId="3BA1437F" w14:textId="77777777" w:rsidR="0098341B" w:rsidRPr="00EB7EAA" w:rsidRDefault="00B63580" w:rsidP="00CF6440">
      <w:pPr>
        <w:pStyle w:val="Akapitzlist"/>
        <w:ind w:left="1276"/>
      </w:pPr>
      <w:r w:rsidRPr="00EB7EAA">
        <w:t>C</w:t>
      </w:r>
      <w:r w:rsidR="00225387" w:rsidRPr="00EB7EAA">
        <w:t>zy</w:t>
      </w:r>
      <w:r w:rsidR="00656606">
        <w:t xml:space="preserve"> </w:t>
      </w:r>
      <w:r w:rsidR="00225387" w:rsidRPr="00EB7EAA">
        <w:t>realizowane</w:t>
      </w:r>
      <w:r w:rsidR="00656606">
        <w:t xml:space="preserve"> </w:t>
      </w:r>
      <w:r w:rsidR="00225387" w:rsidRPr="00EB7EAA">
        <w:t>w</w:t>
      </w:r>
      <w:r w:rsidR="00656606">
        <w:t xml:space="preserve"> </w:t>
      </w:r>
      <w:r w:rsidR="00225387" w:rsidRPr="00EB7EAA">
        <w:t>ramach</w:t>
      </w:r>
      <w:r w:rsidR="00656606">
        <w:t xml:space="preserve"> </w:t>
      </w:r>
      <w:r w:rsidR="00225387" w:rsidRPr="00EB7EAA">
        <w:t>projektu</w:t>
      </w:r>
      <w:r w:rsidR="00656606">
        <w:t xml:space="preserve"> </w:t>
      </w:r>
      <w:r w:rsidR="00225387" w:rsidRPr="00EB7EAA">
        <w:t>cele</w:t>
      </w:r>
      <w:r w:rsidR="00656606">
        <w:t xml:space="preserve"> </w:t>
      </w:r>
      <w:r w:rsidR="00225387" w:rsidRPr="00EB7EAA">
        <w:t>są</w:t>
      </w:r>
      <w:r w:rsidR="00656606">
        <w:t xml:space="preserve"> </w:t>
      </w:r>
      <w:r w:rsidR="00225387" w:rsidRPr="00EB7EAA">
        <w:t>ze</w:t>
      </w:r>
      <w:r w:rsidR="00656606">
        <w:t xml:space="preserve"> </w:t>
      </w:r>
      <w:r w:rsidR="00225387" w:rsidRPr="00EB7EAA">
        <w:t>sobą</w:t>
      </w:r>
      <w:r w:rsidR="00656606">
        <w:t xml:space="preserve"> </w:t>
      </w:r>
      <w:r w:rsidR="00225387" w:rsidRPr="00EB7EAA">
        <w:t>logicznie</w:t>
      </w:r>
      <w:r w:rsidR="00656606">
        <w:t xml:space="preserve"> </w:t>
      </w:r>
      <w:r w:rsidRPr="00EB7EAA">
        <w:t>powiązane.</w:t>
      </w:r>
      <w:r w:rsidR="00656606">
        <w:t xml:space="preserve"> </w:t>
      </w:r>
      <w:r w:rsidRPr="00EB7EAA">
        <w:t>W</w:t>
      </w:r>
      <w:r w:rsidR="001332E3">
        <w:t> </w:t>
      </w:r>
      <w:r w:rsidR="00A3420C" w:rsidRPr="00EB7EAA">
        <w:t>przypadku</w:t>
      </w:r>
      <w:r w:rsidR="00656606">
        <w:t xml:space="preserve"> </w:t>
      </w:r>
      <w:r w:rsidR="00A3420C" w:rsidRPr="00EB7EAA">
        <w:t>gdy</w:t>
      </w:r>
      <w:r w:rsidR="00656606">
        <w:t xml:space="preserve"> </w:t>
      </w:r>
      <w:r w:rsidR="00A3420C" w:rsidRPr="00EB7EAA">
        <w:t>w</w:t>
      </w:r>
      <w:r w:rsidR="00656606">
        <w:t xml:space="preserve"> </w:t>
      </w:r>
      <w:r w:rsidR="00A3420C" w:rsidRPr="00EB7EAA">
        <w:t>ramach</w:t>
      </w:r>
      <w:r w:rsidR="00656606">
        <w:t xml:space="preserve"> </w:t>
      </w:r>
      <w:r w:rsidR="00A3420C" w:rsidRPr="00EB7EAA">
        <w:t>projektu</w:t>
      </w:r>
      <w:r w:rsidR="00656606">
        <w:t xml:space="preserve"> </w:t>
      </w:r>
      <w:r w:rsidRPr="00EB7EAA">
        <w:t>realizowanych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kilka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="0098341B" w:rsidRPr="00EB7EAA">
        <w:t>(np.</w:t>
      </w:r>
      <w:r w:rsidR="00656606">
        <w:t xml:space="preserve"> </w:t>
      </w:r>
      <w:r w:rsidR="0098341B" w:rsidRPr="00EB7EAA">
        <w:t>projekty</w:t>
      </w:r>
      <w:r w:rsidR="00656606">
        <w:t xml:space="preserve"> </w:t>
      </w:r>
      <w:r w:rsidR="0098341B" w:rsidRPr="00EB7EAA">
        <w:t>rewitalizacyjne)</w:t>
      </w:r>
      <w:r w:rsidR="00A02516" w:rsidRPr="00EB7EAA">
        <w:t>,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przedstawić</w:t>
      </w:r>
      <w:r w:rsidR="00656606">
        <w:t xml:space="preserve"> </w:t>
      </w:r>
      <w:r w:rsidRPr="00EB7EAA">
        <w:t>logikę</w:t>
      </w:r>
      <w:r w:rsidR="00656606">
        <w:t xml:space="preserve"> </w:t>
      </w:r>
      <w:r w:rsidRPr="00EB7EAA">
        <w:t>powiązań</w:t>
      </w:r>
      <w:r w:rsidR="00656606">
        <w:t xml:space="preserve"> </w:t>
      </w:r>
      <w:r w:rsidRPr="00EB7EAA">
        <w:t>przycz</w:t>
      </w:r>
      <w:r w:rsidR="0098341B" w:rsidRPr="00EB7EAA">
        <w:t>ynowo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98341B" w:rsidRPr="00EB7EAA">
        <w:t>skutkowych</w:t>
      </w:r>
      <w:r w:rsidR="00656606">
        <w:t xml:space="preserve"> </w:t>
      </w:r>
      <w:r w:rsidR="0098341B" w:rsidRPr="00EB7EAA">
        <w:t>między</w:t>
      </w:r>
      <w:r w:rsidR="00656606">
        <w:t xml:space="preserve"> </w:t>
      </w:r>
      <w:r w:rsidR="0098341B" w:rsidRPr="00EB7EAA">
        <w:t>celami,</w:t>
      </w:r>
      <w:r w:rsidR="00656606">
        <w:t xml:space="preserve"> </w:t>
      </w:r>
      <w:r w:rsidR="0098341B" w:rsidRPr="00EB7EAA">
        <w:t>które</w:t>
      </w:r>
      <w:r w:rsidR="00656606">
        <w:t xml:space="preserve"> </w:t>
      </w:r>
      <w:r w:rsidRPr="00EB7EAA">
        <w:t>powinny</w:t>
      </w:r>
      <w:r w:rsidR="00656606">
        <w:t xml:space="preserve"> </w:t>
      </w:r>
      <w:r w:rsidRPr="00EB7EAA">
        <w:t>się</w:t>
      </w:r>
      <w:r w:rsidR="00656606">
        <w:t xml:space="preserve"> </w:t>
      </w:r>
      <w:r w:rsidRPr="00EB7EAA">
        <w:t>wzajemnie</w:t>
      </w:r>
      <w:r w:rsidR="00656606">
        <w:t xml:space="preserve"> </w:t>
      </w:r>
      <w:r w:rsidRPr="00EB7EAA">
        <w:t>uzupełniać.</w:t>
      </w:r>
      <w:r w:rsidR="00656606">
        <w:t xml:space="preserve"> </w:t>
      </w:r>
    </w:p>
    <w:p w14:paraId="34A72CC3" w14:textId="77777777" w:rsidR="0098341B" w:rsidRPr="00EB7EAA" w:rsidRDefault="0098341B" w:rsidP="00CF6440">
      <w:pPr>
        <w:pStyle w:val="Akapitzlist"/>
        <w:ind w:left="1276"/>
      </w:pPr>
      <w:r w:rsidRPr="00EB7EAA">
        <w:t>O</w:t>
      </w:r>
      <w:r w:rsidR="006B1620" w:rsidRPr="00EB7EAA">
        <w:t>kreślić</w:t>
      </w:r>
      <w:r w:rsidR="00656606">
        <w:t xml:space="preserve"> </w:t>
      </w:r>
      <w:r w:rsidR="00A3420C" w:rsidRPr="00EB7EAA">
        <w:t>zbieżności</w:t>
      </w:r>
      <w:r w:rsidR="00656606">
        <w:t xml:space="preserve"> </w:t>
      </w:r>
      <w:r w:rsidR="00A3420C" w:rsidRPr="00EB7EAA">
        <w:t>celów</w:t>
      </w:r>
      <w:r w:rsidR="00656606">
        <w:t xml:space="preserve"> </w:t>
      </w:r>
      <w:r w:rsidR="00A3420C" w:rsidRPr="00EB7EAA">
        <w:t>projektu</w:t>
      </w:r>
      <w:r w:rsidR="00656606">
        <w:t xml:space="preserve"> </w:t>
      </w:r>
      <w:r w:rsidR="00A3420C" w:rsidRPr="00EB7EAA">
        <w:t>z</w:t>
      </w:r>
      <w:r w:rsidR="00656606">
        <w:t xml:space="preserve"> </w:t>
      </w:r>
      <w:r w:rsidR="00A3420C" w:rsidRPr="00EB7EAA">
        <w:t>celami</w:t>
      </w:r>
      <w:r w:rsidR="00656606">
        <w:t xml:space="preserve"> </w:t>
      </w:r>
      <w:r w:rsidR="00A3420C" w:rsidRPr="00EB7EAA">
        <w:t>realizacji</w:t>
      </w:r>
      <w:r w:rsidR="00656606">
        <w:t xml:space="preserve"> </w:t>
      </w:r>
      <w:r w:rsidR="00A3420C" w:rsidRPr="00EB7EAA">
        <w:t>danej</w:t>
      </w:r>
      <w:r w:rsidR="00656606">
        <w:t xml:space="preserve"> </w:t>
      </w:r>
      <w:r w:rsidR="00A3420C" w:rsidRPr="00EB7EAA">
        <w:t>osi</w:t>
      </w:r>
      <w:r w:rsidR="00656606">
        <w:t xml:space="preserve"> </w:t>
      </w:r>
      <w:r w:rsidR="00A3420C" w:rsidRPr="00EB7EAA">
        <w:t>priorytetowej</w:t>
      </w:r>
      <w:r w:rsidR="00656606">
        <w:t xml:space="preserve"> </w:t>
      </w:r>
      <w:r w:rsidR="00A3420C" w:rsidRPr="00EB7EAA">
        <w:t>i</w:t>
      </w:r>
      <w:r w:rsidR="00656606">
        <w:t xml:space="preserve"> </w:t>
      </w:r>
      <w:r w:rsidR="00A3420C" w:rsidRPr="00EB7EAA">
        <w:t>działania</w:t>
      </w:r>
      <w:r w:rsidR="00656606">
        <w:t xml:space="preserve"> </w:t>
      </w:r>
      <w:r w:rsidR="00A3420C" w:rsidRPr="00EB7EAA">
        <w:t>RPOWŚ</w:t>
      </w:r>
      <w:r w:rsidR="00656606">
        <w:t xml:space="preserve"> </w:t>
      </w:r>
      <w:r w:rsidR="00A3420C" w:rsidRPr="00EB7EAA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A3420C" w:rsidRPr="00EB7EAA">
        <w:t>2020</w:t>
      </w:r>
      <w:r w:rsidR="0084076B" w:rsidRPr="00EB7EAA">
        <w:t>.</w:t>
      </w:r>
      <w:r w:rsidR="00656606">
        <w:t xml:space="preserve"> </w:t>
      </w:r>
    </w:p>
    <w:p w14:paraId="0C6D1593" w14:textId="77777777" w:rsidR="006A54DE" w:rsidRPr="00EB7EAA" w:rsidRDefault="0098341B" w:rsidP="00CF6440">
      <w:pPr>
        <w:pStyle w:val="Akapitzlist"/>
        <w:ind w:left="1276"/>
      </w:pPr>
      <w:r w:rsidRPr="00EB7EAA">
        <w:t>C</w:t>
      </w:r>
      <w:r w:rsidR="007C7432" w:rsidRPr="00EB7EAA">
        <w:t>ele</w:t>
      </w:r>
      <w:r w:rsidR="00656606">
        <w:t xml:space="preserve"> </w:t>
      </w:r>
      <w:r w:rsidR="007C7432" w:rsidRPr="00EB7EAA">
        <w:t>powinny</w:t>
      </w:r>
      <w:r w:rsidR="00656606">
        <w:t xml:space="preserve"> </w:t>
      </w:r>
      <w:r w:rsidR="007C7432" w:rsidRPr="00EB7EAA">
        <w:t>zostać</w:t>
      </w:r>
      <w:r w:rsidR="00656606">
        <w:t xml:space="preserve"> </w:t>
      </w:r>
      <w:r w:rsidR="00453BD3" w:rsidRPr="00EB7EAA">
        <w:t>skwantyfikowane</w:t>
      </w:r>
      <w:r w:rsidR="00656606">
        <w:t xml:space="preserve"> </w:t>
      </w:r>
      <w:r w:rsidR="00D326D4" w:rsidRPr="00EB7EAA">
        <w:t>poprzez</w:t>
      </w:r>
      <w:r w:rsidR="00656606">
        <w:t xml:space="preserve"> </w:t>
      </w:r>
      <w:r w:rsidR="00D326D4" w:rsidRPr="00EB7EAA">
        <w:t>określenie</w:t>
      </w:r>
      <w:r w:rsidR="00656606">
        <w:t xml:space="preserve"> </w:t>
      </w:r>
      <w:r w:rsidR="006B1620" w:rsidRPr="00EB7EAA">
        <w:t>ich</w:t>
      </w:r>
      <w:r w:rsidR="00656606">
        <w:t xml:space="preserve"> </w:t>
      </w:r>
      <w:r w:rsidR="00D326D4" w:rsidRPr="00EB7EAA">
        <w:t>wartości</w:t>
      </w:r>
      <w:r w:rsidR="00656606">
        <w:t xml:space="preserve"> </w:t>
      </w:r>
      <w:r w:rsidR="00D326D4" w:rsidRPr="00EB7EAA">
        <w:t>bazowych</w:t>
      </w:r>
      <w:r w:rsidR="00656606">
        <w:t xml:space="preserve"> </w:t>
      </w:r>
      <w:r w:rsidR="006B1620" w:rsidRPr="00EB7EAA">
        <w:t>oraz</w:t>
      </w:r>
      <w:r w:rsidR="00656606">
        <w:t xml:space="preserve"> </w:t>
      </w:r>
      <w:r w:rsidR="00D326D4" w:rsidRPr="00EB7EAA">
        <w:t>docelowych</w:t>
      </w:r>
      <w:r w:rsidR="00656606">
        <w:t xml:space="preserve"> </w:t>
      </w:r>
      <w:r w:rsidR="005421A5" w:rsidRPr="00EB7EAA">
        <w:t>wraz</w:t>
      </w:r>
      <w:r w:rsidR="00656606">
        <w:t xml:space="preserve"> </w:t>
      </w:r>
      <w:r w:rsidR="005421A5" w:rsidRPr="00EB7EAA">
        <w:t>ze</w:t>
      </w:r>
      <w:r w:rsidR="00656606">
        <w:t xml:space="preserve"> </w:t>
      </w:r>
      <w:r w:rsidR="005421A5" w:rsidRPr="00EB7EAA">
        <w:t>wskazaniem</w:t>
      </w:r>
      <w:r w:rsidR="00656606">
        <w:t xml:space="preserve"> </w:t>
      </w:r>
      <w:r w:rsidR="005421A5" w:rsidRPr="00EB7EAA">
        <w:t>metody</w:t>
      </w:r>
      <w:r w:rsidR="00656606">
        <w:t xml:space="preserve"> </w:t>
      </w:r>
      <w:r w:rsidR="00D326D4" w:rsidRPr="00EB7EAA">
        <w:t>pomiaru</w:t>
      </w:r>
      <w:r w:rsidR="00656606">
        <w:t xml:space="preserve"> </w:t>
      </w:r>
      <w:r w:rsidR="00D326D4" w:rsidRPr="00EB7EAA">
        <w:t>poziomu</w:t>
      </w:r>
      <w:r w:rsidR="00656606">
        <w:t xml:space="preserve"> </w:t>
      </w:r>
      <w:r w:rsidR="00D326D4" w:rsidRPr="00EB7EAA">
        <w:t>ich</w:t>
      </w:r>
      <w:r w:rsidR="00656606">
        <w:t xml:space="preserve"> </w:t>
      </w:r>
      <w:r w:rsidR="00D326D4" w:rsidRPr="00EB7EAA">
        <w:t>osiągnięcia</w:t>
      </w:r>
      <w:r w:rsidR="003F3906" w:rsidRPr="00EB7EAA">
        <w:t>.</w:t>
      </w:r>
    </w:p>
    <w:p w14:paraId="4FE16EFC" w14:textId="77777777" w:rsidR="007C7432" w:rsidRPr="00EB7EAA" w:rsidRDefault="007C7432" w:rsidP="00CF6440">
      <w:pPr>
        <w:pStyle w:val="Akapitzlist"/>
        <w:numPr>
          <w:ilvl w:val="1"/>
          <w:numId w:val="2"/>
        </w:numPr>
      </w:pPr>
      <w:r w:rsidRPr="00EB7EAA">
        <w:t>Reasumując,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określać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taki</w:t>
      </w:r>
      <w:r w:rsidR="00656606">
        <w:t xml:space="preserve"> </w:t>
      </w:r>
      <w:r w:rsidRPr="00EB7EAA">
        <w:t>sposób,</w:t>
      </w:r>
      <w:r w:rsidR="00656606">
        <w:t xml:space="preserve"> </w:t>
      </w:r>
      <w:r w:rsidRPr="00EB7EAA">
        <w:t>aby</w:t>
      </w:r>
      <w:r w:rsidR="00656606">
        <w:t xml:space="preserve"> </w:t>
      </w:r>
      <w:r w:rsidRPr="00EB7EAA">
        <w:t>były</w:t>
      </w:r>
      <w:r w:rsidR="00656606">
        <w:t xml:space="preserve"> </w:t>
      </w:r>
      <w:r w:rsidRPr="00EB7EAA">
        <w:t>one:</w:t>
      </w:r>
    </w:p>
    <w:p w14:paraId="166B976F" w14:textId="77777777" w:rsidR="007C7432" w:rsidRPr="00EB7EAA" w:rsidRDefault="007C7432" w:rsidP="00265A33">
      <w:pPr>
        <w:pStyle w:val="Akapitzlist"/>
        <w:numPr>
          <w:ilvl w:val="0"/>
          <w:numId w:val="38"/>
        </w:numPr>
      </w:pPr>
      <w:r w:rsidRPr="00EB7EAA">
        <w:t>pożądane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inwestora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otoczenie</w:t>
      </w:r>
      <w:r w:rsidR="00656606">
        <w:t xml:space="preserve"> </w:t>
      </w:r>
      <w:r w:rsidRPr="00EB7EAA">
        <w:t>(wynikały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analizy</w:t>
      </w:r>
      <w:r w:rsidR="00656606">
        <w:t xml:space="preserve"> </w:t>
      </w:r>
      <w:r w:rsidRPr="00EB7EAA">
        <w:t>potrzeb);</w:t>
      </w:r>
    </w:p>
    <w:p w14:paraId="389D47A7" w14:textId="77777777" w:rsidR="007C7432" w:rsidRPr="00EB7EAA" w:rsidRDefault="007C7432" w:rsidP="00265A33">
      <w:pPr>
        <w:pStyle w:val="Akapitzlist"/>
        <w:numPr>
          <w:ilvl w:val="0"/>
          <w:numId w:val="38"/>
        </w:numPr>
      </w:pPr>
      <w:r w:rsidRPr="00EB7EAA">
        <w:t>nakierowane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koncentrację</w:t>
      </w:r>
      <w:r w:rsidR="00656606">
        <w:t xml:space="preserve"> </w:t>
      </w:r>
      <w:r w:rsidRPr="00EB7EAA">
        <w:t>środków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ważne,</w:t>
      </w:r>
      <w:r w:rsidR="00656606">
        <w:t xml:space="preserve"> </w:t>
      </w:r>
      <w:r w:rsidRPr="00EB7EAA">
        <w:t>efektywne</w:t>
      </w:r>
      <w:r w:rsidR="00656606">
        <w:t xml:space="preserve"> </w:t>
      </w:r>
      <w:r w:rsidRPr="00EB7EAA">
        <w:t>kosztowo,</w:t>
      </w:r>
      <w:r w:rsidR="00656606">
        <w:t xml:space="preserve"> </w:t>
      </w:r>
      <w:r w:rsidRPr="00EB7EAA">
        <w:t>a</w:t>
      </w:r>
      <w:r w:rsidR="008E1B03">
        <w:t> </w:t>
      </w:r>
      <w:r w:rsidRPr="00EB7EAA">
        <w:t>także</w:t>
      </w:r>
      <w:r w:rsidR="00656606">
        <w:t xml:space="preserve"> </w:t>
      </w:r>
      <w:r w:rsidRPr="00EB7EAA">
        <w:t>możliwe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zrealizowania</w:t>
      </w:r>
      <w:r w:rsidR="00656606">
        <w:t xml:space="preserve"> </w:t>
      </w:r>
      <w:r w:rsidRPr="00EB7EAA">
        <w:t>wraz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uzasadnieniem,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jaki</w:t>
      </w:r>
      <w:r w:rsidR="00656606">
        <w:t xml:space="preserve"> </w:t>
      </w:r>
      <w:r w:rsidRPr="00EB7EAA">
        <w:t>sposób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zostaną</w:t>
      </w:r>
      <w:r w:rsidR="00656606">
        <w:t xml:space="preserve"> </w:t>
      </w:r>
      <w:r w:rsidRPr="00EB7EAA">
        <w:t>zrealizowane;</w:t>
      </w:r>
    </w:p>
    <w:p w14:paraId="04D2B2B4" w14:textId="77777777" w:rsidR="007C7432" w:rsidRPr="00EB7EAA" w:rsidRDefault="007C7432" w:rsidP="00265A33">
      <w:pPr>
        <w:pStyle w:val="Akapitzlist"/>
        <w:numPr>
          <w:ilvl w:val="0"/>
          <w:numId w:val="38"/>
        </w:numPr>
      </w:pPr>
      <w:r w:rsidRPr="00EB7EAA">
        <w:t>opisem</w:t>
      </w:r>
      <w:r w:rsidR="00656606">
        <w:t xml:space="preserve"> </w:t>
      </w:r>
      <w:r w:rsidRPr="00EB7EAA">
        <w:t>przyszłego</w:t>
      </w:r>
      <w:r w:rsidR="00656606">
        <w:t xml:space="preserve"> </w:t>
      </w:r>
      <w:r w:rsidRPr="00EB7EAA">
        <w:t>stanu</w:t>
      </w:r>
      <w:r w:rsidR="00656606">
        <w:t xml:space="preserve"> </w:t>
      </w:r>
      <w:r w:rsidRPr="00EB7EAA">
        <w:t>rzeczy,</w:t>
      </w:r>
      <w:r w:rsidR="00656606">
        <w:t xml:space="preserve"> </w:t>
      </w:r>
      <w:r w:rsidRPr="00EB7EAA">
        <w:t>który</w:t>
      </w:r>
      <w:r w:rsidR="00656606">
        <w:t xml:space="preserve"> </w:t>
      </w:r>
      <w:r w:rsidRPr="00EB7EAA">
        <w:t>zaistnieje</w:t>
      </w:r>
      <w:r w:rsidR="00656606">
        <w:t xml:space="preserve"> </w:t>
      </w:r>
      <w:r w:rsidR="00B63580" w:rsidRPr="00EB7EAA">
        <w:t>po</w:t>
      </w:r>
      <w:r w:rsidR="00656606">
        <w:t xml:space="preserve"> </w:t>
      </w:r>
      <w:r w:rsidR="00B63580" w:rsidRPr="00EB7EAA">
        <w:t>rozwiązaniu</w:t>
      </w:r>
      <w:r w:rsidR="00656606">
        <w:t xml:space="preserve"> </w:t>
      </w:r>
      <w:r w:rsidR="00B63580" w:rsidRPr="00EB7EAA">
        <w:t>problemów</w:t>
      </w:r>
      <w:r w:rsidR="00656606">
        <w:t xml:space="preserve"> </w:t>
      </w:r>
      <w:r w:rsidR="00B63580" w:rsidRPr="00EB7EAA">
        <w:t>(celem</w:t>
      </w:r>
      <w:r w:rsidR="00656606">
        <w:t xml:space="preserve"> </w:t>
      </w:r>
      <w:r w:rsidR="0098341B" w:rsidRPr="00EB7EAA">
        <w:t>projektu</w:t>
      </w:r>
      <w:r w:rsidR="00656606">
        <w:t xml:space="preserve"> </w:t>
      </w:r>
      <w:r w:rsidR="00B63580" w:rsidRPr="00EB7EAA">
        <w:t>nie</w:t>
      </w:r>
      <w:r w:rsidR="00656606">
        <w:t xml:space="preserve"> </w:t>
      </w:r>
      <w:r w:rsidR="00B63580" w:rsidRPr="00EB7EAA">
        <w:t>może</w:t>
      </w:r>
      <w:r w:rsidR="00656606">
        <w:t xml:space="preserve"> </w:t>
      </w:r>
      <w:r w:rsidR="00B63580" w:rsidRPr="00EB7EAA">
        <w:t>być</w:t>
      </w:r>
      <w:r w:rsidR="00656606">
        <w:t xml:space="preserve"> </w:t>
      </w:r>
      <w:r w:rsidR="00B63580" w:rsidRPr="00EB7EAA">
        <w:t>budowa</w:t>
      </w:r>
      <w:r w:rsidR="00656606">
        <w:t xml:space="preserve"> </w:t>
      </w:r>
      <w:r w:rsidR="00B63580" w:rsidRPr="00EB7EAA">
        <w:t>obiektu</w:t>
      </w:r>
      <w:r w:rsidR="00656606">
        <w:t xml:space="preserve"> </w:t>
      </w:r>
      <w:r w:rsidR="00B63580" w:rsidRPr="00EB7EAA">
        <w:t>budowlanego</w:t>
      </w:r>
      <w:r w:rsidR="00656606">
        <w:t xml:space="preserve"> </w:t>
      </w:r>
      <w:r w:rsidRPr="00EB7EAA">
        <w:t>albo</w:t>
      </w:r>
      <w:r w:rsidR="00656606">
        <w:t xml:space="preserve"> </w:t>
      </w:r>
      <w:r w:rsidR="00B63580" w:rsidRPr="00EB7EAA">
        <w:t>zakup</w:t>
      </w:r>
      <w:r w:rsidR="00656606">
        <w:t xml:space="preserve"> </w:t>
      </w:r>
      <w:r w:rsidR="00B63580" w:rsidRPr="00EB7EAA">
        <w:t>środka</w:t>
      </w:r>
      <w:r w:rsidR="00656606">
        <w:t xml:space="preserve"> </w:t>
      </w:r>
      <w:r w:rsidR="00B63580" w:rsidRPr="00EB7EAA">
        <w:t>trwałego</w:t>
      </w:r>
      <w:r w:rsidR="0098341B" w:rsidRPr="00EB7EAA">
        <w:t>,</w:t>
      </w:r>
      <w:r w:rsidR="00656606">
        <w:t xml:space="preserve"> </w:t>
      </w:r>
      <w:r w:rsidR="0098341B" w:rsidRPr="00EB7EAA">
        <w:t>które</w:t>
      </w:r>
      <w:r w:rsidR="00656606">
        <w:t xml:space="preserve"> </w:t>
      </w:r>
      <w:r w:rsidR="0098341B" w:rsidRPr="00EB7EAA">
        <w:t>są</w:t>
      </w:r>
      <w:r w:rsidR="00656606">
        <w:t xml:space="preserve"> </w:t>
      </w:r>
      <w:r w:rsidR="0098341B" w:rsidRPr="00EB7EAA">
        <w:t>tylko</w:t>
      </w:r>
      <w:r w:rsidR="00656606">
        <w:t xml:space="preserve"> </w:t>
      </w:r>
      <w:r w:rsidR="0098341B" w:rsidRPr="00EB7EAA">
        <w:t>działania</w:t>
      </w:r>
      <w:r w:rsidRPr="00EB7EAA">
        <w:t>m</w:t>
      </w:r>
      <w:r w:rsidR="0098341B" w:rsidRPr="00EB7EAA">
        <w:t>i</w:t>
      </w:r>
      <w:r w:rsidR="00656606">
        <w:t xml:space="preserve"> </w:t>
      </w:r>
      <w:r w:rsidRPr="00EB7EAA">
        <w:t>niezbędnym</w:t>
      </w:r>
      <w:r w:rsidR="0098341B" w:rsidRPr="00EB7EAA">
        <w:t>i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celów);</w:t>
      </w:r>
    </w:p>
    <w:p w14:paraId="221E5F7C" w14:textId="7FB944C2" w:rsidR="007C7432" w:rsidRDefault="007C7432" w:rsidP="00265A33">
      <w:pPr>
        <w:pStyle w:val="Akapitzlist"/>
        <w:numPr>
          <w:ilvl w:val="0"/>
          <w:numId w:val="38"/>
        </w:numPr>
      </w:pPr>
      <w:r w:rsidRPr="00EB7EAA">
        <w:t>zgodne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techniką</w:t>
      </w:r>
      <w:r w:rsidR="00656606">
        <w:t xml:space="preserve"> </w:t>
      </w:r>
      <w:r w:rsidRPr="00EB7EAA">
        <w:t>SMART,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oznacza,</w:t>
      </w:r>
      <w:r w:rsidR="00656606">
        <w:t xml:space="preserve"> </w:t>
      </w:r>
      <w:r w:rsidRPr="00EB7EAA">
        <w:t>że</w:t>
      </w:r>
      <w:r w:rsidR="00656606">
        <w:t xml:space="preserve"> </w:t>
      </w:r>
      <w:r w:rsidRPr="00EB7EAA">
        <w:t>każdy</w:t>
      </w:r>
      <w:r w:rsidR="00656606">
        <w:t xml:space="preserve"> </w:t>
      </w:r>
      <w:r w:rsidRPr="00EB7EAA">
        <w:t>cel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zostać</w:t>
      </w:r>
      <w:r w:rsidR="00656606">
        <w:t xml:space="preserve"> </w:t>
      </w:r>
      <w:r w:rsidRPr="00EB7EAA">
        <w:t>skwantyfikowany,</w:t>
      </w:r>
      <w:r w:rsidR="00656606">
        <w:t xml:space="preserve"> </w:t>
      </w:r>
      <w:r w:rsidRPr="00EB7EAA">
        <w:t>poprzez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najmniej</w:t>
      </w:r>
      <w:r w:rsidR="00656606">
        <w:t xml:space="preserve"> </w:t>
      </w:r>
      <w:r w:rsidRPr="00EB7EAA">
        <w:t>jednego</w:t>
      </w:r>
      <w:r w:rsidR="00656606">
        <w:t xml:space="preserve"> </w:t>
      </w:r>
      <w:r w:rsidRPr="00EB7EAA">
        <w:t>wskaźnika</w:t>
      </w:r>
      <w:r w:rsidR="00656606">
        <w:t xml:space="preserve"> </w:t>
      </w:r>
      <w:r w:rsidRPr="00EB7EAA">
        <w:t>rezultatu,</w:t>
      </w:r>
      <w:r w:rsidR="00656606">
        <w:t xml:space="preserve"> </w:t>
      </w:r>
      <w:r w:rsidRPr="00EB7EAA">
        <w:t>a</w:t>
      </w:r>
      <w:r w:rsidR="0068636E">
        <w:t> </w:t>
      </w:r>
      <w:r w:rsidRPr="00EB7EAA">
        <w:t>następnie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każdego</w:t>
      </w:r>
      <w:r w:rsidR="00656606">
        <w:t xml:space="preserve"> </w:t>
      </w:r>
      <w:r w:rsidRPr="00EB7EAA">
        <w:t>wskaźnika</w:t>
      </w:r>
      <w:r w:rsidR="00656606">
        <w:t xml:space="preserve"> </w:t>
      </w:r>
      <w:r w:rsidRPr="00EB7EAA">
        <w:t>powinna</w:t>
      </w:r>
      <w:r w:rsidR="00656606">
        <w:t xml:space="preserve"> </w:t>
      </w:r>
      <w:r w:rsidRPr="00EB7EAA">
        <w:t>zostać</w:t>
      </w:r>
      <w:r w:rsidR="00656606">
        <w:t xml:space="preserve"> </w:t>
      </w:r>
      <w:r w:rsidRPr="00EB7EAA">
        <w:t>określona</w:t>
      </w:r>
      <w:r w:rsidR="00656606">
        <w:t xml:space="preserve"> </w:t>
      </w:r>
      <w:r w:rsidRPr="00EB7EAA">
        <w:t>wartość</w:t>
      </w:r>
      <w:r w:rsidR="00656606">
        <w:t xml:space="preserve"> </w:t>
      </w:r>
      <w:r w:rsidRPr="00EB7EAA">
        <w:t>bazowa</w:t>
      </w:r>
      <w:r w:rsidR="00656606">
        <w:t xml:space="preserve"> </w:t>
      </w:r>
      <w:r w:rsidRPr="00EB7EAA">
        <w:t>i</w:t>
      </w:r>
      <w:r w:rsidR="0068636E">
        <w:t> </w:t>
      </w:r>
      <w:r w:rsidRPr="00EB7EAA">
        <w:t>docelowa,</w:t>
      </w:r>
      <w:r w:rsidR="00656606">
        <w:t xml:space="preserve"> </w:t>
      </w:r>
      <w:r w:rsidRPr="00EB7EAA">
        <w:t>moment</w:t>
      </w:r>
      <w:r w:rsidR="00656606">
        <w:t xml:space="preserve"> </w:t>
      </w:r>
      <w:r w:rsidRPr="00EB7EAA">
        <w:t>osiągnięcia</w:t>
      </w:r>
      <w:r w:rsidR="00656606">
        <w:t xml:space="preserve"> </w:t>
      </w:r>
      <w:r w:rsidRPr="00EB7EAA">
        <w:t>wartości</w:t>
      </w:r>
      <w:r w:rsidR="00656606">
        <w:t xml:space="preserve"> </w:t>
      </w:r>
      <w:r w:rsidRPr="00EB7EAA">
        <w:t>docelowej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metoda</w:t>
      </w:r>
      <w:r w:rsidR="00656606">
        <w:t xml:space="preserve"> </w:t>
      </w:r>
      <w:r w:rsidRPr="00EB7EAA">
        <w:t>pomiaru</w:t>
      </w:r>
      <w:r w:rsidR="00656606">
        <w:t xml:space="preserve"> </w:t>
      </w:r>
      <w:r w:rsidRPr="00EB7EAA">
        <w:t>poziomu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osiągnięcia.</w:t>
      </w:r>
    </w:p>
    <w:p w14:paraId="018FC6E8" w14:textId="297A3923" w:rsidR="00462DF1" w:rsidRPr="00EB7EAA" w:rsidRDefault="001C41FC" w:rsidP="00265A33">
      <w:pPr>
        <w:pStyle w:val="Akapitzlist"/>
        <w:numPr>
          <w:ilvl w:val="0"/>
          <w:numId w:val="38"/>
        </w:numPr>
      </w:pPr>
      <w:r w:rsidRPr="001C3F75">
        <w:t xml:space="preserve">nie </w:t>
      </w:r>
      <w:r w:rsidR="00B91BF4" w:rsidRPr="001C3F75">
        <w:t>nastawione</w:t>
      </w:r>
      <w:r w:rsidRPr="001C3F75">
        <w:t xml:space="preserve"> wyłącznie </w:t>
      </w:r>
      <w:r w:rsidR="00B91BF4" w:rsidRPr="001C3F75">
        <w:t xml:space="preserve">na </w:t>
      </w:r>
      <w:r w:rsidRPr="001C3F75">
        <w:t xml:space="preserve">dostosowania istniejącej infrastruktury do obowiązujących przepisów, gdyż </w:t>
      </w:r>
      <w:r w:rsidR="00462DF1" w:rsidRPr="001C3F75">
        <w:t>projekty</w:t>
      </w:r>
      <w:r w:rsidR="001C3F75" w:rsidRPr="001C3F75">
        <w:t xml:space="preserve"> </w:t>
      </w:r>
      <w:r w:rsidR="00642A49" w:rsidRPr="001C3F75">
        <w:t xml:space="preserve">te </w:t>
      </w:r>
      <w:r w:rsidR="00462DF1" w:rsidRPr="00462DF1">
        <w:t>będą uważane za niekwalifikowalne.</w:t>
      </w:r>
    </w:p>
    <w:p w14:paraId="0241E574" w14:textId="77777777" w:rsidR="006A54DE" w:rsidRPr="00EB7EAA" w:rsidRDefault="005421A5" w:rsidP="00EB7EAA">
      <w:pPr>
        <w:pStyle w:val="Nagwek2"/>
        <w:jc w:val="both"/>
        <w:rPr>
          <w:i/>
        </w:rPr>
      </w:pPr>
      <w:bookmarkStart w:id="13" w:name="_Toc21079580"/>
      <w:r w:rsidRPr="00EB7EAA">
        <w:lastRenderedPageBreak/>
        <w:t>Wskaźniki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Pr="00EB7EAA">
        <w:t>projektu</w:t>
      </w:r>
      <w:bookmarkEnd w:id="13"/>
      <w:r w:rsidR="00656606">
        <w:t xml:space="preserve"> </w:t>
      </w:r>
    </w:p>
    <w:p w14:paraId="350C389B" w14:textId="77777777"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Realizacja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mierzona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pomocą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przynajmniej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względzie,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produktu,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wybudowanie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budowlanego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zakupienie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środka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trwałego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liczbowo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jakościowo,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było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docelowej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momentu,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osiągnięty.</w:t>
      </w:r>
    </w:p>
    <w:p w14:paraId="30E46542" w14:textId="77777777"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reguły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względnym,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jednostkę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powinno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określać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kontekście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</w:t>
      </w:r>
      <w:r w:rsidR="00B90374" w:rsidRPr="00EB7EAA">
        <w:rPr>
          <w:rFonts w:ascii="Calibri" w:hAnsi="Calibri"/>
        </w:rPr>
        <w:t>ub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przestrzeni,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os./rok,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kWh</w:t>
      </w:r>
      <w:r w:rsidRPr="00EB7EAA">
        <w:rPr>
          <w:rFonts w:ascii="Calibri" w:hAnsi="Calibri"/>
        </w:rPr>
        <w:t>/</w:t>
      </w:r>
      <w:r w:rsidR="00B90374" w:rsidRPr="00EB7EAA">
        <w:rPr>
          <w:rFonts w:ascii="Calibri" w:hAnsi="Calibri"/>
        </w:rPr>
        <w:t>rok,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szt./rok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Istnieją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odno</w:t>
      </w:r>
      <w:r w:rsidR="00B90374" w:rsidRPr="00EB7EAA">
        <w:rPr>
          <w:rFonts w:ascii="Calibri" w:hAnsi="Calibri"/>
        </w:rPr>
        <w:t>szące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czasu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przestrzeni,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pokazują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potencjału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(</w:t>
      </w:r>
      <w:r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przepu</w:t>
      </w:r>
      <w:r w:rsidR="007268FA" w:rsidRPr="00EB7EAA">
        <w:rPr>
          <w:rFonts w:ascii="Calibri" w:hAnsi="Calibri"/>
        </w:rPr>
        <w:t>stowości,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liczby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miejsc</w:t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przyrost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wytwórczej</w:t>
      </w:r>
      <w:r w:rsidR="007268FA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</w:t>
      </w:r>
      <w:r w:rsidR="00B90374" w:rsidRPr="00EB7EAA">
        <w:rPr>
          <w:rFonts w:ascii="Calibri" w:hAnsi="Calibri"/>
        </w:rPr>
        <w:t>).</w:t>
      </w:r>
    </w:p>
    <w:p w14:paraId="450D6261" w14:textId="77777777"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Cel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="00E75D03" w:rsidRPr="00EB7EAA">
        <w:rPr>
          <w:rFonts w:ascii="Calibri" w:hAnsi="Calibri"/>
        </w:rPr>
        <w:t>muszą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osiągnięty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pewnym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momencie.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reguły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później.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zatem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określić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zostanie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osiągnięta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docelowa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wskaźnika.</w:t>
      </w:r>
      <w:r w:rsidR="00656606">
        <w:rPr>
          <w:rFonts w:ascii="Calibri" w:hAnsi="Calibri"/>
        </w:rPr>
        <w:t xml:space="preserve"> </w:t>
      </w:r>
    </w:p>
    <w:p w14:paraId="2D83EF11" w14:textId="77777777" w:rsidR="006A54DE" w:rsidRPr="00EB7EAA" w:rsidRDefault="00B90374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Wymaganym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źródła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126A33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skąd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pozyskamy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dane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wskaźnika.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dział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księgowości,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kadr,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lista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obecności,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rejestr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sprzedaży,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kartoteki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itp.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instytucja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zajmująca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pomiarem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urząd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gminy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prowadzący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rejestr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przedsiębiorców</w:t>
      </w:r>
      <w:r w:rsidR="007268FA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itp.</w:t>
      </w:r>
      <w:r w:rsidR="00126A33" w:rsidRPr="00EB7EAA">
        <w:rPr>
          <w:rFonts w:ascii="Calibri" w:hAnsi="Calibri"/>
        </w:rPr>
        <w:t>).</w:t>
      </w:r>
    </w:p>
    <w:p w14:paraId="3977321F" w14:textId="77777777" w:rsidR="006B1620" w:rsidRPr="00EB7EAA" w:rsidRDefault="005421A5" w:rsidP="00EB7EAA">
      <w:pPr>
        <w:pStyle w:val="Default"/>
        <w:jc w:val="both"/>
        <w:rPr>
          <w:rFonts w:ascii="Calibri" w:hAnsi="Calibri"/>
          <w:bCs/>
          <w:i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poniższej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tabeli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przedstawić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odpowiednie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działania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</w:t>
      </w:r>
      <w:r w:rsidR="00656606">
        <w:rPr>
          <w:rFonts w:ascii="Calibri" w:hAnsi="Calibri"/>
        </w:rPr>
        <w:t xml:space="preserve"> </w:t>
      </w:r>
      <w:r w:rsidR="006B1620"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listą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wskaźników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zawartą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SZOOP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RPOWŚ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2014</w:t>
      </w:r>
      <w:r w:rsidR="00656606">
        <w:rPr>
          <w:rFonts w:ascii="Calibri" w:hAnsi="Calibri"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2020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="00BF7D81" w:rsidRPr="00EB7EAA">
        <w:rPr>
          <w:rFonts w:ascii="Calibri" w:hAnsi="Calibri"/>
          <w:i/>
        </w:rPr>
        <w:t>Wspólną</w:t>
      </w:r>
      <w:r w:rsidR="00656606">
        <w:rPr>
          <w:rFonts w:ascii="Calibri" w:hAnsi="Calibri"/>
          <w:i/>
        </w:rPr>
        <w:t xml:space="preserve"> </w:t>
      </w:r>
      <w:r w:rsidR="00BF7D81" w:rsidRPr="00EB7EAA">
        <w:rPr>
          <w:rFonts w:ascii="Calibri" w:hAnsi="Calibri"/>
          <w:i/>
        </w:rPr>
        <w:t>Listą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Wskaźników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Kluczowych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2014</w:t>
      </w:r>
      <w:r w:rsidR="00656606">
        <w:rPr>
          <w:rFonts w:ascii="Calibri" w:hAnsi="Calibri"/>
          <w:i/>
        </w:rPr>
        <w:t xml:space="preserve"> </w:t>
      </w:r>
      <w:r w:rsidR="00415E30">
        <w:rPr>
          <w:rFonts w:ascii="Calibri" w:hAnsi="Calibri"/>
          <w:i/>
        </w:rPr>
        <w:t>–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2020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–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EFRR,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FS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stanowiącą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załącznik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1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  <w:bCs/>
          <w:i/>
        </w:rPr>
        <w:t>Wytycznych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Ministra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Infrastruktury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i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Rozwoju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w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zakresie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monitorowania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postępu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rzeczowego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realizacji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programów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operacyjnych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na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lata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2014</w:t>
      </w:r>
      <w:r w:rsidR="00656606">
        <w:rPr>
          <w:rFonts w:ascii="Calibri" w:hAnsi="Calibri"/>
          <w:bCs/>
          <w:i/>
        </w:rPr>
        <w:t xml:space="preserve"> </w:t>
      </w:r>
      <w:r w:rsidR="00415E30">
        <w:rPr>
          <w:rFonts w:ascii="Calibri" w:hAnsi="Calibri"/>
          <w:bCs/>
          <w:i/>
        </w:rPr>
        <w:t>–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2020.</w:t>
      </w:r>
      <w:r w:rsidR="00656606">
        <w:rPr>
          <w:rFonts w:ascii="Calibri" w:hAnsi="Calibri"/>
          <w:bCs/>
          <w:i/>
        </w:rPr>
        <w:t xml:space="preserve"> </w:t>
      </w:r>
    </w:p>
    <w:p w14:paraId="2CCAAC06" w14:textId="77777777" w:rsidR="00A82500" w:rsidRPr="00EB7EAA" w:rsidRDefault="006B1620" w:rsidP="00EB7EAA">
      <w:pPr>
        <w:pStyle w:val="Default"/>
        <w:jc w:val="both"/>
        <w:rPr>
          <w:rFonts w:ascii="Calibri" w:hAnsi="Calibri"/>
          <w:b/>
          <w:bCs/>
          <w:iCs/>
        </w:rPr>
      </w:pPr>
      <w:r w:rsidRPr="00EB7EAA">
        <w:rPr>
          <w:rFonts w:ascii="Calibri" w:hAnsi="Calibri"/>
          <w:b/>
          <w:bCs/>
        </w:rPr>
        <w:t>Zarówno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nazwy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wskaźników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jak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wartości</w:t>
      </w:r>
      <w:r w:rsidR="00656606">
        <w:rPr>
          <w:rFonts w:ascii="Calibri" w:hAnsi="Calibri"/>
          <w:b/>
          <w:bCs/>
        </w:rPr>
        <w:t xml:space="preserve"> </w:t>
      </w:r>
      <w:r w:rsidR="00B63580" w:rsidRPr="00EB7EAA">
        <w:rPr>
          <w:rFonts w:ascii="Calibri" w:hAnsi="Calibri"/>
          <w:b/>
          <w:bCs/>
        </w:rPr>
        <w:t>muszą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być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tożsame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z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tymi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podawanymi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Wniosku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dofinansowanie.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503"/>
        <w:gridCol w:w="1029"/>
        <w:gridCol w:w="1380"/>
        <w:gridCol w:w="1471"/>
      </w:tblGrid>
      <w:tr w:rsidR="001B7FBC" w:rsidRPr="00EB7EAA" w14:paraId="07ADF1D0" w14:textId="77777777" w:rsidTr="00775719">
        <w:trPr>
          <w:trHeight w:val="537"/>
        </w:trPr>
        <w:tc>
          <w:tcPr>
            <w:tcW w:w="1970" w:type="pct"/>
            <w:vAlign w:val="center"/>
          </w:tcPr>
          <w:p w14:paraId="76363712" w14:textId="77777777" w:rsidR="001B7FBC" w:rsidRPr="00EB7EAA" w:rsidRDefault="001B7FBC" w:rsidP="00775719">
            <w:pPr>
              <w:pStyle w:val="Bezodstpw"/>
              <w:jc w:val="center"/>
            </w:pPr>
            <w:r w:rsidRPr="00EB7EAA">
              <w:t>Wskaźniki</w:t>
            </w:r>
            <w:r w:rsidR="00656606">
              <w:t xml:space="preserve"> </w:t>
            </w:r>
            <w:r w:rsidRPr="00EB7EAA">
              <w:t>rezultatu</w:t>
            </w:r>
            <w:r w:rsidR="00964AEB">
              <w:t xml:space="preserve"> </w:t>
            </w:r>
            <w:r w:rsidRPr="00EB7EAA">
              <w:t>(nazwa</w:t>
            </w:r>
            <w:r w:rsidR="00656606">
              <w:t xml:space="preserve"> </w:t>
            </w:r>
            <w:r w:rsidRPr="00EB7EAA">
              <w:t>wskaźnika)</w:t>
            </w:r>
          </w:p>
        </w:tc>
        <w:tc>
          <w:tcPr>
            <w:tcW w:w="846" w:type="pct"/>
            <w:vAlign w:val="center"/>
          </w:tcPr>
          <w:p w14:paraId="18EBA607" w14:textId="77777777" w:rsidR="001B7FBC" w:rsidRPr="00EB7EAA" w:rsidRDefault="001B7FBC" w:rsidP="00775719">
            <w:pPr>
              <w:pStyle w:val="Bezodstpw"/>
              <w:jc w:val="center"/>
            </w:pPr>
            <w:r w:rsidRPr="00EB7EAA">
              <w:t>Źródło</w:t>
            </w:r>
            <w:r w:rsidR="00656606">
              <w:t xml:space="preserve"> </w:t>
            </w:r>
            <w:r w:rsidRPr="00EB7EAA">
              <w:t>danych</w:t>
            </w:r>
          </w:p>
        </w:tc>
        <w:tc>
          <w:tcPr>
            <w:tcW w:w="579" w:type="pct"/>
            <w:vAlign w:val="center"/>
          </w:tcPr>
          <w:p w14:paraId="234D1105" w14:textId="77777777" w:rsidR="001B7FBC" w:rsidRPr="00EB7EAA" w:rsidRDefault="001B7FBC" w:rsidP="00775719">
            <w:pPr>
              <w:pStyle w:val="Bezodstpw"/>
              <w:jc w:val="center"/>
            </w:pPr>
            <w:r w:rsidRPr="00EB7EAA">
              <w:t>Jedn.</w:t>
            </w:r>
            <w:r w:rsidR="00656606">
              <w:t xml:space="preserve"> </w:t>
            </w:r>
            <w:r w:rsidRPr="00EB7EAA">
              <w:t>miary</w:t>
            </w:r>
          </w:p>
        </w:tc>
        <w:tc>
          <w:tcPr>
            <w:tcW w:w="777" w:type="pct"/>
            <w:vAlign w:val="center"/>
          </w:tcPr>
          <w:p w14:paraId="5E92A250" w14:textId="77777777" w:rsidR="001B7FBC" w:rsidRPr="00EB7EAA" w:rsidRDefault="001B7FBC" w:rsidP="00775719">
            <w:pPr>
              <w:pStyle w:val="Bezodstpw"/>
              <w:jc w:val="center"/>
              <w:rPr>
                <w:rFonts w:cs="Arial"/>
              </w:rPr>
            </w:pPr>
            <w:r w:rsidRPr="00EB7EAA">
              <w:rPr>
                <w:rFonts w:cs="Arial"/>
              </w:rPr>
              <w:t>Wartość</w:t>
            </w:r>
            <w:r w:rsidR="00656606">
              <w:rPr>
                <w:rFonts w:cs="Arial"/>
              </w:rPr>
              <w:t xml:space="preserve"> </w:t>
            </w:r>
            <w:r w:rsidRPr="00EB7EAA">
              <w:rPr>
                <w:rFonts w:cs="Arial"/>
              </w:rPr>
              <w:t>bazowa</w:t>
            </w:r>
          </w:p>
        </w:tc>
        <w:tc>
          <w:tcPr>
            <w:tcW w:w="828" w:type="pct"/>
            <w:vAlign w:val="center"/>
          </w:tcPr>
          <w:p w14:paraId="3A69CB6D" w14:textId="77777777" w:rsidR="001B7FBC" w:rsidRPr="00EB7EAA" w:rsidRDefault="001B7FBC" w:rsidP="00775719">
            <w:pPr>
              <w:pStyle w:val="Bezodstpw"/>
              <w:jc w:val="center"/>
              <w:rPr>
                <w:szCs w:val="20"/>
              </w:rPr>
            </w:pPr>
            <w:r w:rsidRPr="00EB7EAA">
              <w:rPr>
                <w:szCs w:val="20"/>
              </w:rPr>
              <w:t>Wartość</w:t>
            </w:r>
            <w:r w:rsidR="00656606">
              <w:rPr>
                <w:szCs w:val="20"/>
              </w:rPr>
              <w:t xml:space="preserve"> </w:t>
            </w:r>
            <w:r w:rsidRPr="00EB7EAA">
              <w:rPr>
                <w:szCs w:val="20"/>
              </w:rPr>
              <w:t>docelowa</w:t>
            </w:r>
          </w:p>
        </w:tc>
      </w:tr>
      <w:tr w:rsidR="001B7FBC" w:rsidRPr="00EB7EAA" w14:paraId="00601823" w14:textId="77777777" w:rsidTr="00775719">
        <w:trPr>
          <w:trHeight w:val="537"/>
        </w:trPr>
        <w:tc>
          <w:tcPr>
            <w:tcW w:w="1970" w:type="pct"/>
          </w:tcPr>
          <w:p w14:paraId="37226A8A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3E5E0FE4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14:paraId="39947CEA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14:paraId="1088E3BE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14:paraId="6E95B57B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FBC" w:rsidRPr="00EB7EAA" w14:paraId="221BA9C2" w14:textId="77777777" w:rsidTr="00775719">
        <w:trPr>
          <w:trHeight w:val="537"/>
        </w:trPr>
        <w:tc>
          <w:tcPr>
            <w:tcW w:w="1970" w:type="pct"/>
          </w:tcPr>
          <w:p w14:paraId="018AB249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40E65D82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14:paraId="609E14E9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14:paraId="2B951526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14:paraId="115918DE" w14:textId="77777777"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C384B" w14:textId="77777777" w:rsidR="00F2795C" w:rsidRPr="00EB7EAA" w:rsidRDefault="00F2795C" w:rsidP="00EB7EA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14:paraId="79184D4A" w14:textId="77777777" w:rsidR="006A54DE" w:rsidRPr="00EB7EAA" w:rsidRDefault="001769C3" w:rsidP="000029BB">
      <w:pPr>
        <w:pStyle w:val="Nagwek1"/>
        <w:numPr>
          <w:ilvl w:val="0"/>
          <w:numId w:val="2"/>
        </w:numPr>
        <w:jc w:val="both"/>
        <w:rPr>
          <w:rFonts w:cs="Arial"/>
        </w:rPr>
      </w:pPr>
      <w:bookmarkStart w:id="14" w:name="_Toc21079581"/>
      <w:r w:rsidRPr="00EB7EAA">
        <w:lastRenderedPageBreak/>
        <w:t>Komplementarność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spójność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innymi</w:t>
      </w:r>
      <w:r w:rsidR="00656606">
        <w:t xml:space="preserve"> </w:t>
      </w:r>
      <w:r w:rsidRPr="00EB7EAA">
        <w:t>przedsięwzięciami</w:t>
      </w:r>
      <w:r w:rsidR="00656606">
        <w:t xml:space="preserve"> </w:t>
      </w:r>
      <w:r w:rsidR="00C57E5E" w:rsidRPr="00EB7EAA">
        <w:t>or</w:t>
      </w:r>
      <w:r w:rsidR="004B792F" w:rsidRPr="00EB7EAA">
        <w:t>az</w:t>
      </w:r>
      <w:r w:rsidR="00656606">
        <w:t xml:space="preserve"> </w:t>
      </w:r>
      <w:r w:rsidR="004B792F" w:rsidRPr="00EB7EAA">
        <w:t>zgodność</w:t>
      </w:r>
      <w:r w:rsidR="00656606">
        <w:t xml:space="preserve"> </w:t>
      </w:r>
      <w:r w:rsidR="004B792F" w:rsidRPr="00EB7EAA">
        <w:t>z</w:t>
      </w:r>
      <w:r w:rsidR="00656606">
        <w:t xml:space="preserve"> </w:t>
      </w:r>
      <w:r w:rsidR="004B792F" w:rsidRPr="00EB7EAA">
        <w:t>innymi</w:t>
      </w:r>
      <w:r w:rsidR="00656606">
        <w:t xml:space="preserve"> </w:t>
      </w:r>
      <w:r w:rsidR="004B792F" w:rsidRPr="00EB7EAA">
        <w:t>programami,</w:t>
      </w:r>
      <w:r w:rsidR="00656606">
        <w:t xml:space="preserve"> </w:t>
      </w:r>
      <w:r w:rsidR="004B792F" w:rsidRPr="00EB7EAA">
        <w:t>strateg</w:t>
      </w:r>
      <w:r w:rsidR="00BF7D81" w:rsidRPr="00EB7EAA">
        <w:t>i</w:t>
      </w:r>
      <w:r w:rsidR="004B792F" w:rsidRPr="00EB7EAA">
        <w:t>ami</w:t>
      </w:r>
      <w:r w:rsidR="00656606">
        <w:t xml:space="preserve"> </w:t>
      </w:r>
      <w:r w:rsidR="004B792F" w:rsidRPr="00EB7EAA">
        <w:t>branżowymi</w:t>
      </w:r>
      <w:bookmarkEnd w:id="14"/>
    </w:p>
    <w:p w14:paraId="345A0AFE" w14:textId="77777777" w:rsidR="00550D78" w:rsidRPr="00EB7EAA" w:rsidRDefault="00550D78" w:rsidP="00E75D03">
      <w:pPr>
        <w:pStyle w:val="Akapitzlist"/>
        <w:numPr>
          <w:ilvl w:val="1"/>
          <w:numId w:val="2"/>
        </w:numPr>
      </w:pPr>
      <w:r w:rsidRPr="00EB7EAA">
        <w:t>P</w:t>
      </w:r>
      <w:r w:rsidR="001769C3" w:rsidRPr="00EB7EAA">
        <w:t>rojekt</w:t>
      </w:r>
      <w:r w:rsidR="00656606">
        <w:t xml:space="preserve"> </w:t>
      </w:r>
      <w:r w:rsidR="001769C3" w:rsidRPr="00EB7EAA">
        <w:t>może</w:t>
      </w:r>
      <w:r w:rsidR="00656606">
        <w:t xml:space="preserve"> </w:t>
      </w:r>
      <w:r w:rsidR="001769C3" w:rsidRPr="00EB7EAA">
        <w:t>być</w:t>
      </w:r>
      <w:r w:rsidR="00656606">
        <w:t xml:space="preserve"> </w:t>
      </w:r>
      <w:r w:rsidR="001769C3" w:rsidRPr="00EB7EAA">
        <w:t>elementem</w:t>
      </w:r>
      <w:r w:rsidR="00656606">
        <w:t xml:space="preserve"> </w:t>
      </w:r>
      <w:r w:rsidR="001769C3" w:rsidRPr="00EB7EAA">
        <w:t>szerszego</w:t>
      </w:r>
      <w:r w:rsidR="00656606">
        <w:t xml:space="preserve"> </w:t>
      </w:r>
      <w:r w:rsidR="001769C3" w:rsidRPr="00EB7EAA">
        <w:t>przedsięwzięcia</w:t>
      </w:r>
      <w:r w:rsidR="00656606">
        <w:t xml:space="preserve"> </w:t>
      </w:r>
      <w:r w:rsidR="001769C3" w:rsidRPr="00EB7EAA">
        <w:t>lub</w:t>
      </w:r>
      <w:r w:rsidR="00656606">
        <w:t xml:space="preserve"> </w:t>
      </w:r>
      <w:r w:rsidR="001769C3" w:rsidRPr="00EB7EAA">
        <w:t>być</w:t>
      </w:r>
      <w:r w:rsidR="00656606">
        <w:t xml:space="preserve"> </w:t>
      </w:r>
      <w:r w:rsidR="001769C3" w:rsidRPr="00EB7EAA">
        <w:t>bezpośrednio</w:t>
      </w:r>
      <w:r w:rsidR="00656606">
        <w:t xml:space="preserve"> </w:t>
      </w:r>
      <w:r w:rsidR="00F4209C" w:rsidRPr="00EB7EAA">
        <w:t>bądź</w:t>
      </w:r>
      <w:r w:rsidR="00656606">
        <w:t xml:space="preserve"> </w:t>
      </w:r>
      <w:r w:rsidR="001769C3" w:rsidRPr="00EB7EAA">
        <w:t>pośrednio</w:t>
      </w:r>
      <w:r w:rsidR="00656606">
        <w:t xml:space="preserve"> </w:t>
      </w:r>
      <w:r w:rsidR="001769C3" w:rsidRPr="00EB7EAA">
        <w:rPr>
          <w:rFonts w:hint="eastAsia"/>
        </w:rPr>
        <w:t>powiązany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innymi</w:t>
      </w:r>
      <w:r w:rsidR="00656606">
        <w:t xml:space="preserve"> </w:t>
      </w:r>
      <w:r w:rsidRPr="00EB7EAA">
        <w:t>p</w:t>
      </w:r>
      <w:r w:rsidR="001769C3" w:rsidRPr="00EB7EAA">
        <w:t>rojektami</w:t>
      </w:r>
      <w:r w:rsidR="00656606">
        <w:t xml:space="preserve"> </w:t>
      </w:r>
      <w:r w:rsidRPr="00EB7EAA">
        <w:t>zrealizowanymi,</w:t>
      </w:r>
      <w:r w:rsidR="00656606">
        <w:t xml:space="preserve"> </w:t>
      </w:r>
      <w:r w:rsidR="001769C3" w:rsidRPr="00EB7EAA">
        <w:t>realizowanymi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planowanymi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="0007481C" w:rsidRPr="00EB7EAA">
        <w:t>przez</w:t>
      </w:r>
      <w:r w:rsidR="00656606">
        <w:t xml:space="preserve"> </w:t>
      </w:r>
      <w:r w:rsidR="0007481C" w:rsidRPr="00EB7EAA">
        <w:t>Beneficjenta</w:t>
      </w:r>
      <w:r w:rsidR="009D6B96" w:rsidRPr="00EB7EAA">
        <w:t>,</w:t>
      </w:r>
      <w:r w:rsidR="00656606">
        <w:t xml:space="preserve"> </w:t>
      </w:r>
      <w:r w:rsidR="0007481C" w:rsidRPr="00EB7EAA">
        <w:t>jak</w:t>
      </w:r>
      <w:r w:rsidR="00656606">
        <w:t xml:space="preserve"> </w:t>
      </w:r>
      <w:r w:rsidR="0007481C" w:rsidRPr="00EB7EAA">
        <w:t>i</w:t>
      </w:r>
      <w:r w:rsidR="00656606">
        <w:t xml:space="preserve"> </w:t>
      </w:r>
      <w:r w:rsidR="0007481C" w:rsidRPr="00EB7EAA">
        <w:t>inne</w:t>
      </w:r>
      <w:r w:rsidR="00656606">
        <w:t xml:space="preserve"> </w:t>
      </w:r>
      <w:r w:rsidR="0007481C" w:rsidRPr="00EB7EAA">
        <w:t>podmioty</w:t>
      </w:r>
      <w:r w:rsidR="00656606">
        <w:t xml:space="preserve"> </w:t>
      </w:r>
      <w:r w:rsidR="001769C3" w:rsidRPr="00EB7EAA">
        <w:t>zarówno</w:t>
      </w:r>
      <w:r w:rsidR="00656606">
        <w:t xml:space="preserve"> </w:t>
      </w:r>
      <w:r w:rsidR="0007481C" w:rsidRPr="00EB7EAA">
        <w:t>ze</w:t>
      </w:r>
      <w:r w:rsidR="00656606">
        <w:t xml:space="preserve"> </w:t>
      </w:r>
      <w:r w:rsidR="0007481C" w:rsidRPr="00EB7EAA">
        <w:t>środków</w:t>
      </w:r>
      <w:r w:rsidR="00656606">
        <w:t xml:space="preserve"> </w:t>
      </w:r>
      <w:r w:rsidR="0007481C" w:rsidRPr="00EB7EAA">
        <w:t>krajowych</w:t>
      </w:r>
      <w:r w:rsidR="00656606">
        <w:t xml:space="preserve"> </w:t>
      </w:r>
      <w:r w:rsidR="0007481C" w:rsidRPr="00EB7EAA">
        <w:t>jak</w:t>
      </w:r>
      <w:r w:rsidR="00656606">
        <w:t xml:space="preserve"> </w:t>
      </w:r>
      <w:r w:rsidR="0007481C" w:rsidRPr="00EB7EAA">
        <w:t>i</w:t>
      </w:r>
      <w:r w:rsidR="00656606">
        <w:t xml:space="preserve"> </w:t>
      </w:r>
      <w:r w:rsidR="0007481C" w:rsidRPr="00EB7EAA">
        <w:t>zagranicznych.</w:t>
      </w:r>
      <w:r w:rsidR="00656606">
        <w:rPr>
          <w:rFonts w:ascii="Tahoma" w:hAnsi="Tahoma" w:cs="Tahoma"/>
          <w:sz w:val="20"/>
          <w:szCs w:val="20"/>
        </w:rPr>
        <w:t xml:space="preserve"> </w:t>
      </w:r>
      <w:r w:rsidR="00833AFE" w:rsidRPr="00EB7EAA">
        <w:rPr>
          <w:rFonts w:ascii="Tahoma" w:hAnsi="Tahoma" w:cs="Tahoma"/>
          <w:sz w:val="20"/>
          <w:szCs w:val="20"/>
        </w:rPr>
        <w:t>Zatem</w:t>
      </w:r>
      <w:r w:rsidR="00656606">
        <w:rPr>
          <w:rFonts w:ascii="Tahoma" w:hAnsi="Tahoma" w:cs="Tahoma"/>
          <w:sz w:val="20"/>
          <w:szCs w:val="20"/>
        </w:rPr>
        <w:t xml:space="preserve"> </w:t>
      </w:r>
      <w:r w:rsidR="00833AFE" w:rsidRPr="00EB7EAA">
        <w:t>w</w:t>
      </w:r>
      <w:r w:rsidR="00656606">
        <w:t xml:space="preserve"> </w:t>
      </w:r>
      <w:r w:rsidR="00833AFE" w:rsidRPr="00EB7EAA">
        <w:t>rozdziale</w:t>
      </w:r>
      <w:r w:rsidR="00656606">
        <w:t xml:space="preserve"> </w:t>
      </w:r>
      <w:r w:rsidR="00833AFE" w:rsidRPr="00EB7EAA">
        <w:t>tym</w:t>
      </w:r>
      <w:r w:rsidR="00656606">
        <w:t xml:space="preserve"> </w:t>
      </w:r>
      <w:r w:rsidR="00833AFE" w:rsidRPr="00EB7EAA">
        <w:t>proszę</w:t>
      </w:r>
      <w:r w:rsidR="00656606">
        <w:t xml:space="preserve"> </w:t>
      </w:r>
      <w:r w:rsidR="00833AFE" w:rsidRPr="00EB7EAA">
        <w:t>przedstawić</w:t>
      </w:r>
      <w:r w:rsidR="00656606">
        <w:t xml:space="preserve"> </w:t>
      </w:r>
      <w:r w:rsidR="00833AFE" w:rsidRPr="00EB7EAA">
        <w:t>działania</w:t>
      </w:r>
      <w:r w:rsidR="00656606">
        <w:t xml:space="preserve"> </w:t>
      </w:r>
      <w:r w:rsidR="00833AFE" w:rsidRPr="00EB7EAA">
        <w:t>komplementarne.</w:t>
      </w:r>
      <w:r w:rsidR="00656606">
        <w:t xml:space="preserve"> </w:t>
      </w:r>
      <w:r w:rsidR="00833AFE" w:rsidRPr="00EB7EAA">
        <w:t>Dotyczy</w:t>
      </w:r>
      <w:r w:rsidR="00656606">
        <w:t xml:space="preserve"> </w:t>
      </w:r>
      <w:r w:rsidR="00833AFE" w:rsidRPr="00EB7EAA">
        <w:t>to</w:t>
      </w:r>
      <w:r w:rsidR="00656606">
        <w:t xml:space="preserve"> </w:t>
      </w:r>
      <w:r w:rsidR="00833AFE" w:rsidRPr="00EB7EAA">
        <w:t>zarówno</w:t>
      </w:r>
      <w:r w:rsidR="00656606">
        <w:t xml:space="preserve"> </w:t>
      </w:r>
      <w:r w:rsidR="00833AFE" w:rsidRPr="00EB7EAA">
        <w:t>powiązań</w:t>
      </w:r>
      <w:r w:rsidR="00656606">
        <w:t xml:space="preserve"> </w:t>
      </w:r>
      <w:r w:rsidR="00833AFE" w:rsidRPr="00EB7EAA">
        <w:t>z</w:t>
      </w:r>
      <w:r w:rsidR="00656606">
        <w:t xml:space="preserve"> </w:t>
      </w:r>
      <w:r w:rsidR="00833AFE" w:rsidRPr="00EB7EAA">
        <w:t>projektami</w:t>
      </w:r>
      <w:r w:rsidR="00656606">
        <w:t xml:space="preserve"> </w:t>
      </w:r>
      <w:r w:rsidR="00833AFE" w:rsidRPr="00EB7EAA">
        <w:t>ze</w:t>
      </w:r>
      <w:r w:rsidR="00656606">
        <w:t xml:space="preserve"> </w:t>
      </w:r>
      <w:r w:rsidR="00833AFE" w:rsidRPr="00EB7EAA">
        <w:t>środków</w:t>
      </w:r>
      <w:r w:rsidR="00656606">
        <w:t xml:space="preserve"> </w:t>
      </w:r>
      <w:r w:rsidR="00833AFE" w:rsidRPr="00EB7EAA">
        <w:t>unijnych,</w:t>
      </w:r>
      <w:r w:rsidR="00656606">
        <w:t xml:space="preserve"> </w:t>
      </w:r>
      <w:r w:rsidR="00833AFE" w:rsidRPr="00EB7EAA">
        <w:t>jak</w:t>
      </w:r>
      <w:r w:rsidR="00656606">
        <w:t xml:space="preserve"> </w:t>
      </w:r>
      <w:r w:rsidR="00833AFE" w:rsidRPr="00EB7EAA">
        <w:t>i</w:t>
      </w:r>
      <w:r w:rsidR="00656606">
        <w:t xml:space="preserve"> </w:t>
      </w:r>
      <w:r w:rsidR="00E75D03" w:rsidRPr="00EB7EAA">
        <w:t>krajowych</w:t>
      </w:r>
      <w:r w:rsidR="00656606">
        <w:t xml:space="preserve"> </w:t>
      </w:r>
      <w:r w:rsidR="00833AFE" w:rsidRPr="00EB7EAA">
        <w:t>czy</w:t>
      </w:r>
      <w:r w:rsidR="00656606">
        <w:t xml:space="preserve"> </w:t>
      </w:r>
      <w:r w:rsidR="00833AFE" w:rsidRPr="00EB7EAA">
        <w:t>innych</w:t>
      </w:r>
      <w:r w:rsidR="00656606">
        <w:t xml:space="preserve"> </w:t>
      </w:r>
      <w:r w:rsidR="00833AFE" w:rsidRPr="00EB7EAA">
        <w:t>zagranicznych,</w:t>
      </w:r>
      <w:r w:rsidR="00656606">
        <w:t xml:space="preserve"> </w:t>
      </w:r>
      <w:r w:rsidR="00833AFE" w:rsidRPr="00EB7EAA">
        <w:t>które</w:t>
      </w:r>
      <w:r w:rsidR="00656606">
        <w:t xml:space="preserve"> </w:t>
      </w:r>
      <w:r w:rsidR="00833AFE" w:rsidRPr="00EB7EAA">
        <w:t>w</w:t>
      </w:r>
      <w:r w:rsidR="00656606">
        <w:t xml:space="preserve"> </w:t>
      </w:r>
      <w:r w:rsidR="00833AFE" w:rsidRPr="00EB7EAA">
        <w:t>jakikol</w:t>
      </w:r>
      <w:r w:rsidR="0084076B" w:rsidRPr="00EB7EAA">
        <w:t>wiek</w:t>
      </w:r>
      <w:r w:rsidR="00656606">
        <w:t xml:space="preserve"> </w:t>
      </w:r>
      <w:r w:rsidR="0084076B" w:rsidRPr="00EB7EAA">
        <w:t>sposób</w:t>
      </w:r>
      <w:r w:rsidR="00656606">
        <w:t xml:space="preserve"> </w:t>
      </w:r>
      <w:r w:rsidR="0084076B" w:rsidRPr="00EB7EAA">
        <w:t>są</w:t>
      </w:r>
      <w:r w:rsidR="00656606">
        <w:t xml:space="preserve"> </w:t>
      </w:r>
      <w:r w:rsidR="0084076B" w:rsidRPr="00EB7EAA">
        <w:t>komplementarne</w:t>
      </w:r>
      <w:r w:rsidR="00656606">
        <w:t xml:space="preserve"> </w:t>
      </w:r>
      <w:r w:rsidR="0084076B" w:rsidRPr="00EB7EAA">
        <w:t>z</w:t>
      </w:r>
      <w:r w:rsidR="00656606">
        <w:t xml:space="preserve"> </w:t>
      </w:r>
      <w:r w:rsidR="00833AFE" w:rsidRPr="00EB7EAA">
        <w:t>proponowanym</w:t>
      </w:r>
      <w:r w:rsidR="00656606">
        <w:t xml:space="preserve"> </w:t>
      </w:r>
      <w:r w:rsidR="00833AFE" w:rsidRPr="00EB7EAA">
        <w:t>projektem</w:t>
      </w:r>
      <w:r w:rsidR="00656606">
        <w:t xml:space="preserve"> </w:t>
      </w:r>
      <w:r w:rsidR="00833AFE" w:rsidRPr="00EB7EAA">
        <w:t>lub</w:t>
      </w:r>
      <w:r w:rsidR="00656606">
        <w:t xml:space="preserve"> </w:t>
      </w:r>
      <w:r w:rsidR="00833AFE" w:rsidRPr="00EB7EAA">
        <w:t>mogą</w:t>
      </w:r>
      <w:r w:rsidR="00656606">
        <w:t xml:space="preserve"> </w:t>
      </w:r>
      <w:r w:rsidR="00833AFE" w:rsidRPr="00EB7EAA">
        <w:t>mieć</w:t>
      </w:r>
      <w:r w:rsidR="00656606">
        <w:t xml:space="preserve"> </w:t>
      </w:r>
      <w:r w:rsidR="00833AFE" w:rsidRPr="00EB7EAA">
        <w:t>jakikolwiek</w:t>
      </w:r>
      <w:r w:rsidR="00656606">
        <w:t xml:space="preserve"> </w:t>
      </w:r>
      <w:r w:rsidR="00833AFE" w:rsidRPr="00EB7EAA">
        <w:t>wpływ</w:t>
      </w:r>
      <w:r w:rsidR="00656606">
        <w:t xml:space="preserve"> </w:t>
      </w:r>
      <w:r w:rsidR="00833AFE" w:rsidRPr="00EB7EAA">
        <w:t>na</w:t>
      </w:r>
      <w:r w:rsidR="00656606">
        <w:t xml:space="preserve"> </w:t>
      </w:r>
      <w:r w:rsidR="00833AFE" w:rsidRPr="00EB7EAA">
        <w:t>jego</w:t>
      </w:r>
      <w:r w:rsidR="00656606">
        <w:t xml:space="preserve"> </w:t>
      </w:r>
      <w:r w:rsidR="00833AFE" w:rsidRPr="00EB7EAA">
        <w:t>realizację.</w:t>
      </w:r>
    </w:p>
    <w:p w14:paraId="7D647688" w14:textId="2E3CDB37" w:rsidR="00833AFE" w:rsidRPr="00EB7EAA" w:rsidRDefault="00833AFE" w:rsidP="00E75D03">
      <w:pPr>
        <w:pStyle w:val="Akapitzlist"/>
        <w:numPr>
          <w:ilvl w:val="1"/>
          <w:numId w:val="2"/>
        </w:numPr>
      </w:pPr>
      <w:r w:rsidRPr="00EB7EAA">
        <w:t>W</w:t>
      </w:r>
      <w:r w:rsidR="00656606">
        <w:t xml:space="preserve"> </w:t>
      </w:r>
      <w:r w:rsidRPr="00EB7EAA">
        <w:t>szczególności</w:t>
      </w:r>
      <w:r w:rsidR="00656606">
        <w:t xml:space="preserve"> </w:t>
      </w:r>
      <w:r w:rsidRPr="00EB7EAA">
        <w:t>n</w:t>
      </w:r>
      <w:r w:rsidR="001769C3" w:rsidRPr="00EB7EAA">
        <w:t>ależy</w:t>
      </w:r>
      <w:r w:rsidR="00656606">
        <w:t xml:space="preserve"> </w:t>
      </w:r>
      <w:r w:rsidRPr="00EB7EAA">
        <w:t>wskazać</w:t>
      </w:r>
      <w:r w:rsidR="00656606">
        <w:t xml:space="preserve"> </w:t>
      </w:r>
      <w:r w:rsidR="001769C3" w:rsidRPr="00EB7EAA">
        <w:t>wszelkie</w:t>
      </w:r>
      <w:r w:rsidR="00656606">
        <w:t xml:space="preserve"> </w:t>
      </w:r>
      <w:r w:rsidR="001769C3" w:rsidRPr="00EB7EAA">
        <w:t>projekty</w:t>
      </w:r>
      <w:r w:rsidR="00623AA2" w:rsidRPr="001C3F75">
        <w:t>, które stanowią dopełnienie / uzupełnienie przedmiotu projektu objętego wsparciem,</w:t>
      </w:r>
      <w:r w:rsidR="00656606" w:rsidRPr="001C3F75">
        <w:t xml:space="preserve"> </w:t>
      </w:r>
      <w:r w:rsidR="001769C3" w:rsidRPr="00EB7EAA">
        <w:t>realizowane</w:t>
      </w:r>
      <w:r w:rsidR="00656606">
        <w:t xml:space="preserve"> </w:t>
      </w:r>
      <w:r w:rsidR="00C72055" w:rsidRPr="00EB7EAA">
        <w:t>w</w:t>
      </w:r>
      <w:r w:rsidR="00656606">
        <w:t xml:space="preserve"> </w:t>
      </w:r>
      <w:r w:rsidR="00C72055" w:rsidRPr="00EB7EAA">
        <w:t>ramach</w:t>
      </w:r>
      <w:r w:rsidR="00656606">
        <w:t xml:space="preserve"> </w:t>
      </w:r>
      <w:r w:rsidR="00C72055" w:rsidRPr="00EB7EAA">
        <w:t>innych</w:t>
      </w:r>
      <w:r w:rsidR="00656606">
        <w:t xml:space="preserve"> </w:t>
      </w:r>
      <w:r w:rsidR="00C72055" w:rsidRPr="00EB7EAA">
        <w:t>programów</w:t>
      </w:r>
      <w:r w:rsidR="00656606">
        <w:t xml:space="preserve"> </w:t>
      </w:r>
      <w:r w:rsidR="00C72055" w:rsidRPr="00EB7EAA">
        <w:t>z</w:t>
      </w:r>
      <w:r w:rsidR="00656606">
        <w:t xml:space="preserve"> </w:t>
      </w:r>
      <w:r w:rsidR="00C72055" w:rsidRPr="00EB7EAA">
        <w:t>obecnej</w:t>
      </w:r>
      <w:r w:rsidR="00656606">
        <w:t xml:space="preserve"> </w:t>
      </w:r>
      <w:r w:rsidR="00C72055" w:rsidRPr="00EB7EAA">
        <w:t>lub</w:t>
      </w:r>
      <w:r w:rsidR="00656606">
        <w:t xml:space="preserve"> </w:t>
      </w:r>
      <w:r w:rsidR="00C72055" w:rsidRPr="00EB7EAA">
        <w:t>poprzedniej</w:t>
      </w:r>
      <w:r w:rsidR="00656606">
        <w:t xml:space="preserve"> </w:t>
      </w:r>
      <w:r w:rsidR="00C72055" w:rsidRPr="00EB7EAA">
        <w:t>perspektywy</w:t>
      </w:r>
      <w:r w:rsidR="00656606">
        <w:t xml:space="preserve"> </w:t>
      </w:r>
      <w:r w:rsidR="00C72055" w:rsidRPr="00EB7EAA">
        <w:t>finansowej</w:t>
      </w:r>
      <w:r w:rsidR="00656606">
        <w:t xml:space="preserve"> </w:t>
      </w:r>
      <w:r w:rsidR="00C72055" w:rsidRPr="00EB7EAA">
        <w:t>UE</w:t>
      </w:r>
      <w:r w:rsidR="00656606">
        <w:t xml:space="preserve"> </w:t>
      </w:r>
      <w:r w:rsidR="00C72055" w:rsidRPr="00EB7EAA">
        <w:t>np.</w:t>
      </w:r>
      <w:r w:rsidR="00656606">
        <w:t xml:space="preserve"> </w:t>
      </w:r>
      <w:r w:rsidR="00C72055" w:rsidRPr="00EB7EAA">
        <w:t>PO</w:t>
      </w:r>
      <w:r w:rsidR="00656606">
        <w:t xml:space="preserve"> </w:t>
      </w:r>
      <w:r w:rsidR="00C72055" w:rsidRPr="00EB7EAA">
        <w:t>Polska</w:t>
      </w:r>
      <w:r w:rsidR="00656606">
        <w:t xml:space="preserve"> </w:t>
      </w:r>
      <w:r w:rsidR="00C72055" w:rsidRPr="00EB7EAA">
        <w:t>Wschodnia,</w:t>
      </w:r>
      <w:r w:rsidR="00656606">
        <w:t xml:space="preserve"> </w:t>
      </w:r>
      <w:r w:rsidR="00C72055" w:rsidRPr="00EB7EAA">
        <w:t>PO</w:t>
      </w:r>
      <w:r w:rsidR="00656606">
        <w:t xml:space="preserve"> </w:t>
      </w:r>
      <w:r w:rsidR="00C72055" w:rsidRPr="00EB7EAA">
        <w:t>Infrastruktura</w:t>
      </w:r>
      <w:r w:rsidR="00656606">
        <w:t xml:space="preserve"> </w:t>
      </w:r>
      <w:r w:rsidR="00C72055" w:rsidRPr="00EB7EAA">
        <w:t>i</w:t>
      </w:r>
      <w:r w:rsidR="00656606">
        <w:t xml:space="preserve"> </w:t>
      </w:r>
      <w:r w:rsidR="00C72055" w:rsidRPr="00EB7EAA">
        <w:t>Środowisko,</w:t>
      </w:r>
      <w:r w:rsidR="00656606">
        <w:t xml:space="preserve"> </w:t>
      </w:r>
      <w:r w:rsidR="00C72055" w:rsidRPr="00EB7EAA">
        <w:t>PROW,</w:t>
      </w:r>
      <w:r w:rsidR="00656606">
        <w:t xml:space="preserve"> </w:t>
      </w:r>
      <w:r w:rsidR="00C72055" w:rsidRPr="00EB7EAA">
        <w:t>RPO,</w:t>
      </w:r>
      <w:r w:rsidR="00656606">
        <w:t xml:space="preserve"> </w:t>
      </w:r>
      <w:r w:rsidR="00C72055" w:rsidRPr="00EB7EAA">
        <w:t>itp</w:t>
      </w:r>
      <w:r w:rsidR="00C72055" w:rsidRPr="001C3F75">
        <w:t>.</w:t>
      </w:r>
      <w:r w:rsidR="00623AA2" w:rsidRPr="001C3F75">
        <w:t xml:space="preserve">, opisane </w:t>
      </w:r>
      <w:r w:rsidR="00EB0581" w:rsidRPr="00EB0581">
        <w:t>zgodnie z zasadami wskazanymi w podrozdziale 9.1.</w:t>
      </w:r>
      <w:r w:rsidR="001C3F75">
        <w:t>22.</w:t>
      </w:r>
    </w:p>
    <w:p w14:paraId="12242B75" w14:textId="77777777" w:rsidR="00833AFE" w:rsidRPr="00EB7EAA" w:rsidRDefault="009D6B96" w:rsidP="00E75D03">
      <w:pPr>
        <w:pStyle w:val="Akapitzlist"/>
        <w:numPr>
          <w:ilvl w:val="1"/>
          <w:numId w:val="2"/>
        </w:numPr>
      </w:pPr>
      <w:r w:rsidRPr="00EB7EAA">
        <w:t>Ponadto,</w:t>
      </w:r>
      <w:r w:rsidR="00656606">
        <w:t xml:space="preserve"> </w:t>
      </w:r>
      <w:r w:rsidR="001769C3" w:rsidRPr="00EB7EAA">
        <w:t>należy</w:t>
      </w:r>
      <w:r w:rsidR="00656606">
        <w:t xml:space="preserve"> </w:t>
      </w:r>
      <w:r w:rsidR="001769C3" w:rsidRPr="00EB7EAA">
        <w:t>wykazać</w:t>
      </w:r>
      <w:r w:rsidR="00656606">
        <w:t xml:space="preserve"> </w:t>
      </w:r>
      <w:r w:rsidR="001769C3" w:rsidRPr="00EB7EAA">
        <w:t>zgodność</w:t>
      </w:r>
      <w:r w:rsidR="00656606">
        <w:t xml:space="preserve"> </w:t>
      </w:r>
      <w:r w:rsidR="001769C3" w:rsidRPr="00EB7EAA">
        <w:t>podejmowanych</w:t>
      </w:r>
      <w:r w:rsidR="00656606">
        <w:t xml:space="preserve"> </w:t>
      </w:r>
      <w:r w:rsidR="001769C3" w:rsidRPr="00EB7EAA">
        <w:t>działań</w:t>
      </w:r>
      <w:r w:rsidR="00656606">
        <w:t xml:space="preserve"> </w:t>
      </w:r>
      <w:r w:rsidR="001769C3" w:rsidRPr="00EB7EAA">
        <w:t>z</w:t>
      </w:r>
      <w:r w:rsidR="00656606">
        <w:t xml:space="preserve"> </w:t>
      </w:r>
      <w:r w:rsidR="001769C3" w:rsidRPr="00EB7EAA">
        <w:t>zapisami</w:t>
      </w:r>
      <w:r w:rsidR="00656606">
        <w:t xml:space="preserve"> </w:t>
      </w:r>
      <w:r w:rsidR="001769C3" w:rsidRPr="00EB7EAA">
        <w:t>odpowiednich</w:t>
      </w:r>
      <w:r w:rsidR="00656606">
        <w:t xml:space="preserve"> </w:t>
      </w:r>
      <w:r w:rsidR="00335AD4" w:rsidRPr="00EB7EAA">
        <w:t>programów/</w:t>
      </w:r>
      <w:r w:rsidR="001769C3" w:rsidRPr="00EB7EAA">
        <w:t>strategii</w:t>
      </w:r>
      <w:r w:rsidR="00656606">
        <w:t xml:space="preserve"> </w:t>
      </w:r>
      <w:r w:rsidR="001A3535" w:rsidRPr="00EB7EAA">
        <w:t>branżowych/</w:t>
      </w:r>
      <w:r w:rsidR="001769C3" w:rsidRPr="00EB7EAA">
        <w:t>sektorowych</w:t>
      </w:r>
      <w:r w:rsidR="00656606">
        <w:t xml:space="preserve"> </w:t>
      </w:r>
      <w:r w:rsidR="001A3535" w:rsidRPr="00EB7EAA">
        <w:t>(podając</w:t>
      </w:r>
      <w:r w:rsidR="00656606">
        <w:t xml:space="preserve"> </w:t>
      </w:r>
      <w:r w:rsidR="001A3535" w:rsidRPr="00EB7EAA">
        <w:t>dział/rozdział</w:t>
      </w:r>
      <w:r w:rsidR="00656606">
        <w:t xml:space="preserve"> </w:t>
      </w:r>
      <w:r w:rsidR="001A3535" w:rsidRPr="00EB7EAA">
        <w:t>i</w:t>
      </w:r>
      <w:r w:rsidR="00656606">
        <w:t xml:space="preserve"> </w:t>
      </w:r>
      <w:r w:rsidR="001A3535" w:rsidRPr="00EB7EAA">
        <w:t>nr</w:t>
      </w:r>
      <w:r w:rsidR="00656606">
        <w:t xml:space="preserve"> </w:t>
      </w:r>
      <w:r w:rsidR="001A3535" w:rsidRPr="00EB7EAA">
        <w:t>strony),</w:t>
      </w:r>
      <w:r w:rsidR="00656606">
        <w:t xml:space="preserve"> </w:t>
      </w:r>
      <w:r w:rsidR="00335AD4" w:rsidRPr="00EB7EAA">
        <w:t>z</w:t>
      </w:r>
      <w:r w:rsidR="00656606">
        <w:t xml:space="preserve"> </w:t>
      </w:r>
      <w:r w:rsidR="00335AD4" w:rsidRPr="00EB7EAA">
        <w:t>których</w:t>
      </w:r>
      <w:r w:rsidR="00656606">
        <w:t xml:space="preserve"> </w:t>
      </w:r>
      <w:r w:rsidR="00335AD4" w:rsidRPr="00EB7EAA">
        <w:t>projekt</w:t>
      </w:r>
      <w:r w:rsidR="00656606">
        <w:t xml:space="preserve"> </w:t>
      </w:r>
      <w:r w:rsidR="00335AD4" w:rsidRPr="00EB7EAA">
        <w:t>wynika</w:t>
      </w:r>
      <w:r w:rsidR="00656606">
        <w:t xml:space="preserve"> </w:t>
      </w:r>
      <w:r w:rsidR="001A3535" w:rsidRPr="00EB7EAA">
        <w:t>(</w:t>
      </w:r>
      <w:r w:rsidR="001769C3" w:rsidRPr="00EB7EAA">
        <w:t>np.</w:t>
      </w:r>
      <w:r w:rsidR="00656606">
        <w:t xml:space="preserve"> </w:t>
      </w:r>
      <w:r w:rsidR="001769C3" w:rsidRPr="00EB7EAA">
        <w:t>z</w:t>
      </w:r>
      <w:r w:rsidR="00656606">
        <w:t xml:space="preserve"> </w:t>
      </w:r>
      <w:r w:rsidR="001769C3" w:rsidRPr="00EB7EAA">
        <w:t>zakresu</w:t>
      </w:r>
      <w:r w:rsidR="00656606">
        <w:t xml:space="preserve"> </w:t>
      </w:r>
      <w:r w:rsidR="001769C3" w:rsidRPr="00EB7EAA">
        <w:t>transportu</w:t>
      </w:r>
      <w:r w:rsidR="00656606">
        <w:t xml:space="preserve"> </w:t>
      </w:r>
      <w:r w:rsidR="001769C3" w:rsidRPr="00EB7EAA">
        <w:t>i</w:t>
      </w:r>
      <w:r w:rsidR="00565549">
        <w:t> </w:t>
      </w:r>
      <w:r w:rsidR="001769C3" w:rsidRPr="00EB7EAA">
        <w:t>komunikacji,</w:t>
      </w:r>
      <w:r w:rsidR="00656606">
        <w:t xml:space="preserve"> </w:t>
      </w:r>
      <w:r w:rsidR="00335AD4" w:rsidRPr="00EB7EAA">
        <w:t>rewitalizacji,</w:t>
      </w:r>
      <w:r w:rsidR="00656606">
        <w:t xml:space="preserve"> </w:t>
      </w:r>
      <w:r w:rsidR="001769C3" w:rsidRPr="00EB7EAA">
        <w:t>ochrony</w:t>
      </w:r>
      <w:r w:rsidR="00656606">
        <w:t xml:space="preserve"> </w:t>
      </w:r>
      <w:r w:rsidR="001769C3" w:rsidRPr="00EB7EAA">
        <w:t>środowiska,</w:t>
      </w:r>
      <w:r w:rsidR="00656606">
        <w:t xml:space="preserve"> </w:t>
      </w:r>
      <w:r w:rsidR="001769C3" w:rsidRPr="00EB7EAA">
        <w:t>turystyki,</w:t>
      </w:r>
      <w:r w:rsidR="00656606">
        <w:t xml:space="preserve"> </w:t>
      </w:r>
      <w:r w:rsidR="001769C3" w:rsidRPr="00EB7EAA">
        <w:t>kultury</w:t>
      </w:r>
      <w:r w:rsidR="00335AD4" w:rsidRPr="00EB7EAA">
        <w:t>,</w:t>
      </w:r>
      <w:r w:rsidR="00656606">
        <w:t xml:space="preserve"> </w:t>
      </w:r>
      <w:r w:rsidR="001769C3" w:rsidRPr="00EB7EAA">
        <w:t>edukacji,</w:t>
      </w:r>
      <w:r w:rsidR="00656606">
        <w:t xml:space="preserve"> </w:t>
      </w:r>
      <w:r w:rsidR="00335AD4" w:rsidRPr="00EB7EAA">
        <w:t>zdrowia,</w:t>
      </w:r>
      <w:r w:rsidR="00656606">
        <w:t xml:space="preserve"> </w:t>
      </w:r>
      <w:r w:rsidR="001769C3" w:rsidRPr="00EB7EAA">
        <w:t>itp.</w:t>
      </w:r>
      <w:r w:rsidR="001A3535" w:rsidRPr="00EB7EAA">
        <w:t>)</w:t>
      </w:r>
      <w:r w:rsidR="00656606">
        <w:t xml:space="preserve"> </w:t>
      </w:r>
      <w:r w:rsidR="001769C3" w:rsidRPr="00EB7EAA">
        <w:t>i</w:t>
      </w:r>
      <w:r w:rsidR="00656606">
        <w:t xml:space="preserve"> </w:t>
      </w:r>
      <w:r w:rsidR="001769C3" w:rsidRPr="00EB7EAA">
        <w:t>określić</w:t>
      </w:r>
      <w:r w:rsidR="00656606">
        <w:t xml:space="preserve"> </w:t>
      </w:r>
      <w:r w:rsidR="001769C3" w:rsidRPr="00EB7EAA">
        <w:t>wpływ</w:t>
      </w:r>
      <w:r w:rsidR="00656606">
        <w:t xml:space="preserve"> </w:t>
      </w:r>
      <w:r w:rsidR="001769C3" w:rsidRPr="00EB7EAA">
        <w:t>realizowanego</w:t>
      </w:r>
      <w:r w:rsidR="00656606">
        <w:t xml:space="preserve"> </w:t>
      </w:r>
      <w:r w:rsidR="001769C3" w:rsidRPr="00EB7EAA">
        <w:t>projektu</w:t>
      </w:r>
      <w:r w:rsidR="00656606">
        <w:t xml:space="preserve"> </w:t>
      </w:r>
      <w:r w:rsidR="001769C3" w:rsidRPr="00EB7EAA">
        <w:t>na</w:t>
      </w:r>
      <w:r w:rsidR="00656606">
        <w:t xml:space="preserve"> </w:t>
      </w:r>
      <w:r w:rsidR="001769C3" w:rsidRPr="00EB7EAA">
        <w:t>osiągnięcie</w:t>
      </w:r>
      <w:r w:rsidR="00656606">
        <w:t xml:space="preserve"> </w:t>
      </w:r>
      <w:r w:rsidR="001769C3" w:rsidRPr="00EB7EAA">
        <w:t>celów</w:t>
      </w:r>
      <w:r w:rsidR="00656606">
        <w:t xml:space="preserve"> </w:t>
      </w:r>
      <w:r w:rsidR="001769C3" w:rsidRPr="00EB7EAA">
        <w:t>priorytetowych</w:t>
      </w:r>
      <w:r w:rsidR="00656606">
        <w:t xml:space="preserve"> </w:t>
      </w:r>
      <w:r w:rsidR="001769C3" w:rsidRPr="00EB7EAA">
        <w:t>wyszczególnionych</w:t>
      </w:r>
      <w:r w:rsidR="00656606">
        <w:t xml:space="preserve"> </w:t>
      </w:r>
      <w:r w:rsidR="001769C3" w:rsidRPr="00EB7EAA">
        <w:t>w</w:t>
      </w:r>
      <w:r w:rsidR="00656606">
        <w:t xml:space="preserve"> </w:t>
      </w:r>
      <w:r w:rsidR="0007481C" w:rsidRPr="00EB7EAA">
        <w:t>tych</w:t>
      </w:r>
      <w:r w:rsidR="00656606">
        <w:t xml:space="preserve"> </w:t>
      </w:r>
      <w:r w:rsidR="0007481C" w:rsidRPr="00EB7EAA">
        <w:t>dokumentach</w:t>
      </w:r>
      <w:r w:rsidR="00C72055" w:rsidRPr="00EB7EAA">
        <w:t>.</w:t>
      </w:r>
    </w:p>
    <w:p w14:paraId="10A3D849" w14:textId="77777777" w:rsidR="004435D2" w:rsidRPr="00EB7EAA" w:rsidRDefault="009D6B96" w:rsidP="00E75D03">
      <w:pPr>
        <w:pStyle w:val="Akapitzlist"/>
        <w:numPr>
          <w:ilvl w:val="1"/>
          <w:numId w:val="2"/>
        </w:numPr>
      </w:pPr>
      <w:r w:rsidRPr="00EB7EAA">
        <w:t>Dodatkowo,</w:t>
      </w:r>
      <w:r w:rsidR="00656606">
        <w:t xml:space="preserve"> </w:t>
      </w:r>
      <w:r w:rsidR="0007481C" w:rsidRPr="00EB7EAA">
        <w:t>jeżeli</w:t>
      </w:r>
      <w:r w:rsidR="00656606">
        <w:t xml:space="preserve"> </w:t>
      </w:r>
      <w:r w:rsidR="0007481C" w:rsidRPr="00EB7EAA">
        <w:t>w</w:t>
      </w:r>
      <w:r w:rsidR="00656606">
        <w:t xml:space="preserve"> </w:t>
      </w:r>
      <w:r w:rsidR="0007481C" w:rsidRPr="00EB7EAA">
        <w:t>dokumentacji</w:t>
      </w:r>
      <w:r w:rsidR="00656606">
        <w:t xml:space="preserve"> </w:t>
      </w:r>
      <w:r w:rsidR="0007481C" w:rsidRPr="00EB7EAA">
        <w:t>konkursowej</w:t>
      </w:r>
      <w:r w:rsidR="00656606">
        <w:t xml:space="preserve"> </w:t>
      </w:r>
      <w:r w:rsidR="00791C20" w:rsidRPr="00EB7EAA">
        <w:t>zostaną</w:t>
      </w:r>
      <w:r w:rsidR="00656606">
        <w:t xml:space="preserve"> </w:t>
      </w:r>
      <w:r w:rsidR="00791C20" w:rsidRPr="00EB7EAA">
        <w:t>postawione</w:t>
      </w:r>
      <w:r w:rsidR="00656606">
        <w:t xml:space="preserve"> </w:t>
      </w:r>
      <w:r w:rsidR="00791C20" w:rsidRPr="00EB7EAA">
        <w:t>wymagania</w:t>
      </w:r>
      <w:r w:rsidR="00656606">
        <w:t xml:space="preserve"> </w:t>
      </w:r>
      <w:r w:rsidR="00791C20" w:rsidRPr="00EB7EAA">
        <w:t>co</w:t>
      </w:r>
      <w:r w:rsidR="00656606">
        <w:t xml:space="preserve"> </w:t>
      </w:r>
      <w:r w:rsidR="00791C20" w:rsidRPr="00EB7EAA">
        <w:t>do</w:t>
      </w:r>
      <w:r w:rsidR="00656606">
        <w:t xml:space="preserve"> </w:t>
      </w:r>
      <w:r w:rsidR="00791C20" w:rsidRPr="00EB7EAA">
        <w:t>konieczności</w:t>
      </w:r>
      <w:r w:rsidR="00656606">
        <w:t xml:space="preserve"> </w:t>
      </w:r>
      <w:r w:rsidR="003D2E9C" w:rsidRPr="00EB7EAA">
        <w:t>wskazania</w:t>
      </w:r>
      <w:r w:rsidR="00656606">
        <w:t xml:space="preserve"> </w:t>
      </w:r>
      <w:r w:rsidR="00791C20" w:rsidRPr="00EB7EAA">
        <w:t>w</w:t>
      </w:r>
      <w:r w:rsidR="00656606">
        <w:t xml:space="preserve"> </w:t>
      </w:r>
      <w:r w:rsidR="00791C20" w:rsidRPr="00EB7EAA">
        <w:t>SW</w:t>
      </w:r>
      <w:r w:rsidR="00656606">
        <w:t xml:space="preserve"> </w:t>
      </w:r>
      <w:r w:rsidR="0007481C" w:rsidRPr="00EB7EAA">
        <w:t>linku</w:t>
      </w:r>
      <w:r w:rsidR="00656606">
        <w:t xml:space="preserve"> </w:t>
      </w:r>
      <w:r w:rsidR="0007481C" w:rsidRPr="00EB7EAA">
        <w:t>internetowego</w:t>
      </w:r>
      <w:r w:rsidR="00656606">
        <w:t xml:space="preserve"> </w:t>
      </w:r>
      <w:r w:rsidR="00791C20" w:rsidRPr="00EB7EAA">
        <w:t>do</w:t>
      </w:r>
      <w:r w:rsidR="00656606">
        <w:t xml:space="preserve"> </w:t>
      </w:r>
      <w:r w:rsidR="00791C20" w:rsidRPr="00EB7EAA">
        <w:t>danego</w:t>
      </w:r>
      <w:r w:rsidR="00656606">
        <w:t xml:space="preserve"> </w:t>
      </w:r>
      <w:r w:rsidR="00791C20" w:rsidRPr="00EB7EAA">
        <w:t>programu/strategii,</w:t>
      </w:r>
      <w:r w:rsidR="00656606">
        <w:t xml:space="preserve"> </w:t>
      </w:r>
      <w:r w:rsidR="00791C20" w:rsidRPr="00EB7EAA">
        <w:t>z</w:t>
      </w:r>
      <w:r w:rsidR="00656606">
        <w:t xml:space="preserve"> </w:t>
      </w:r>
      <w:r w:rsidR="00791C20" w:rsidRPr="00EB7EAA">
        <w:t>którego</w:t>
      </w:r>
      <w:r w:rsidR="00656606">
        <w:t xml:space="preserve"> </w:t>
      </w:r>
      <w:r w:rsidR="00791C20" w:rsidRPr="00EB7EAA">
        <w:t>projekt</w:t>
      </w:r>
      <w:r w:rsidR="00656606">
        <w:t xml:space="preserve"> </w:t>
      </w:r>
      <w:r w:rsidR="00791C20" w:rsidRPr="00EB7EAA">
        <w:t>wynika</w:t>
      </w:r>
      <w:r w:rsidR="00656606">
        <w:t xml:space="preserve"> </w:t>
      </w:r>
      <w:r w:rsidR="00791C20" w:rsidRPr="00EB7EAA">
        <w:t>należy</w:t>
      </w:r>
      <w:r w:rsidR="00656606">
        <w:t xml:space="preserve"> </w:t>
      </w:r>
      <w:r w:rsidR="00791C20" w:rsidRPr="00EB7EAA">
        <w:t>w</w:t>
      </w:r>
      <w:r w:rsidR="00656606">
        <w:t xml:space="preserve"> </w:t>
      </w:r>
      <w:r w:rsidR="00791C20" w:rsidRPr="00EB7EAA">
        <w:t>niniejszym</w:t>
      </w:r>
      <w:r w:rsidR="00656606">
        <w:t xml:space="preserve"> </w:t>
      </w:r>
      <w:r w:rsidR="00791C20" w:rsidRPr="00EB7EAA">
        <w:t>rozdziale</w:t>
      </w:r>
      <w:r w:rsidR="00656606">
        <w:t xml:space="preserve"> </w:t>
      </w:r>
      <w:r w:rsidR="00791C20" w:rsidRPr="00EB7EAA">
        <w:t>podać</w:t>
      </w:r>
      <w:r w:rsidR="00656606">
        <w:t xml:space="preserve"> </w:t>
      </w:r>
      <w:r w:rsidR="00791C20" w:rsidRPr="00EB7EAA">
        <w:t>działający</w:t>
      </w:r>
      <w:r w:rsidR="00656606">
        <w:t xml:space="preserve"> </w:t>
      </w:r>
      <w:r w:rsidR="00791C20" w:rsidRPr="00EB7EAA">
        <w:t>link</w:t>
      </w:r>
      <w:r w:rsidR="00656606">
        <w:t xml:space="preserve"> </w:t>
      </w:r>
      <w:r w:rsidR="00791C20" w:rsidRPr="00EB7EAA">
        <w:t>internetowych</w:t>
      </w:r>
      <w:r w:rsidR="003D2E9C" w:rsidRPr="00EB7EAA">
        <w:t>,</w:t>
      </w:r>
      <w:r w:rsidR="00656606">
        <w:t xml:space="preserve"> </w:t>
      </w:r>
      <w:r w:rsidR="00791C20" w:rsidRPr="00EB7EAA">
        <w:t>pod</w:t>
      </w:r>
      <w:r w:rsidR="00656606">
        <w:t xml:space="preserve"> </w:t>
      </w:r>
      <w:r w:rsidR="00791C20" w:rsidRPr="00EB7EAA">
        <w:t>którym</w:t>
      </w:r>
      <w:r w:rsidR="00656606">
        <w:t xml:space="preserve"> </w:t>
      </w:r>
      <w:r w:rsidR="00791C20" w:rsidRPr="00EB7EAA">
        <w:t>znajduje</w:t>
      </w:r>
      <w:r w:rsidR="00656606">
        <w:t xml:space="preserve"> </w:t>
      </w:r>
      <w:r w:rsidR="00C72055" w:rsidRPr="00EB7EAA">
        <w:t>się</w:t>
      </w:r>
      <w:r w:rsidR="00656606">
        <w:t xml:space="preserve"> </w:t>
      </w:r>
      <w:r w:rsidR="00791C20" w:rsidRPr="00EB7EAA">
        <w:t>stosowny</w:t>
      </w:r>
      <w:r w:rsidR="00656606">
        <w:t xml:space="preserve"> </w:t>
      </w:r>
      <w:r w:rsidR="00791C20" w:rsidRPr="00EB7EAA">
        <w:t>dokument.</w:t>
      </w:r>
      <w:r w:rsidR="00656606">
        <w:t xml:space="preserve"> </w:t>
      </w:r>
      <w:r w:rsidR="00791C20" w:rsidRPr="00EB7EAA">
        <w:t>Może</w:t>
      </w:r>
      <w:r w:rsidR="00656606">
        <w:t xml:space="preserve"> </w:t>
      </w:r>
      <w:r w:rsidR="00791C20" w:rsidRPr="00EB7EAA">
        <w:t>dotyczyć</w:t>
      </w:r>
      <w:r w:rsidR="00656606">
        <w:t xml:space="preserve"> </w:t>
      </w:r>
      <w:r w:rsidR="00791C20" w:rsidRPr="00EB7EAA">
        <w:t>to</w:t>
      </w:r>
      <w:r w:rsidR="00656606">
        <w:t xml:space="preserve"> </w:t>
      </w:r>
      <w:r w:rsidR="00791C20" w:rsidRPr="00EB7EAA">
        <w:t>np.</w:t>
      </w:r>
      <w:r w:rsidR="00656606">
        <w:t xml:space="preserve"> </w:t>
      </w:r>
      <w:r w:rsidR="003D2E9C" w:rsidRPr="00EB7EAA">
        <w:t>takich</w:t>
      </w:r>
      <w:r w:rsidR="00656606">
        <w:t xml:space="preserve"> </w:t>
      </w:r>
      <w:r w:rsidR="003D2E9C" w:rsidRPr="00EB7EAA">
        <w:t>dokumentów</w:t>
      </w:r>
      <w:r w:rsidR="00656606">
        <w:t xml:space="preserve"> </w:t>
      </w:r>
      <w:r w:rsidR="003D2E9C" w:rsidRPr="00EB7EAA">
        <w:t>jak:</w:t>
      </w:r>
      <w:r w:rsidR="00656606">
        <w:t xml:space="preserve"> </w:t>
      </w:r>
      <w:r w:rsidR="003D2E9C" w:rsidRPr="00EB7EAA">
        <w:t>Planu</w:t>
      </w:r>
      <w:r w:rsidR="00656606">
        <w:t xml:space="preserve"> </w:t>
      </w:r>
      <w:r w:rsidR="003D2E9C" w:rsidRPr="00EB7EAA">
        <w:t>Gospodarki</w:t>
      </w:r>
      <w:r w:rsidR="00656606">
        <w:t xml:space="preserve"> </w:t>
      </w:r>
      <w:r w:rsidR="003D2E9C" w:rsidRPr="00EB7EAA">
        <w:t>Niskoemisyjnej</w:t>
      </w:r>
      <w:r w:rsidR="00656606">
        <w:t xml:space="preserve"> </w:t>
      </w:r>
      <w:r w:rsidR="003D2E9C" w:rsidRPr="00EB7EAA">
        <w:t>(PGN)</w:t>
      </w:r>
      <w:r w:rsidR="00656606">
        <w:t xml:space="preserve"> </w:t>
      </w:r>
      <w:r w:rsidR="003D2E9C" w:rsidRPr="00EB7EAA">
        <w:t>lub</w:t>
      </w:r>
      <w:r w:rsidR="00656606">
        <w:t xml:space="preserve"> </w:t>
      </w:r>
      <w:r w:rsidR="003D2E9C" w:rsidRPr="00EB7EAA">
        <w:t>równoważnego</w:t>
      </w:r>
      <w:r w:rsidR="00656606">
        <w:t xml:space="preserve"> </w:t>
      </w:r>
      <w:r w:rsidR="003D2E9C" w:rsidRPr="00EB7EAA">
        <w:t>dokumentu</w:t>
      </w:r>
      <w:r w:rsidR="00656606">
        <w:t xml:space="preserve"> </w:t>
      </w:r>
      <w:r w:rsidR="003D2E9C" w:rsidRPr="00EB7EAA">
        <w:t>pełniącego</w:t>
      </w:r>
      <w:r w:rsidR="00656606">
        <w:t xml:space="preserve"> </w:t>
      </w:r>
      <w:r w:rsidR="003D2E9C" w:rsidRPr="00EB7EAA">
        <w:t>funkcję</w:t>
      </w:r>
      <w:r w:rsidR="00656606">
        <w:t xml:space="preserve"> </w:t>
      </w:r>
      <w:r w:rsidR="003D2E9C" w:rsidRPr="00EB7EAA">
        <w:t>planu</w:t>
      </w:r>
      <w:r w:rsidR="00656606">
        <w:t xml:space="preserve"> </w:t>
      </w:r>
      <w:r w:rsidR="003D2E9C" w:rsidRPr="00EB7EAA">
        <w:t>niskoemisyjnej</w:t>
      </w:r>
      <w:r w:rsidR="00656606">
        <w:t xml:space="preserve"> </w:t>
      </w:r>
      <w:r w:rsidR="003D2E9C" w:rsidRPr="00EB7EAA">
        <w:t>i</w:t>
      </w:r>
      <w:r w:rsidR="00F22BB6">
        <w:t> </w:t>
      </w:r>
      <w:r w:rsidR="003D2E9C" w:rsidRPr="00EB7EAA">
        <w:t>zrównoważonej</w:t>
      </w:r>
      <w:r w:rsidR="00656606">
        <w:t xml:space="preserve"> </w:t>
      </w:r>
      <w:r w:rsidR="003D2E9C" w:rsidRPr="00EB7EAA">
        <w:t>mobilności</w:t>
      </w:r>
      <w:r w:rsidR="00656606">
        <w:t xml:space="preserve"> </w:t>
      </w:r>
      <w:r w:rsidR="003D2E9C" w:rsidRPr="00EB7EAA">
        <w:t>miejskiej,</w:t>
      </w:r>
      <w:r w:rsidR="00656606">
        <w:t xml:space="preserve"> </w:t>
      </w:r>
      <w:r w:rsidR="003D2E9C" w:rsidRPr="00EB7EAA">
        <w:t>Kompl</w:t>
      </w:r>
      <w:r w:rsidRPr="00EB7EAA">
        <w:t>eksowego</w:t>
      </w:r>
      <w:r w:rsidR="00656606">
        <w:t xml:space="preserve"> </w:t>
      </w:r>
      <w:r w:rsidRPr="00EB7EAA">
        <w:t>Planu</w:t>
      </w:r>
      <w:r w:rsidR="00656606">
        <w:t xml:space="preserve"> </w:t>
      </w:r>
      <w:r w:rsidRPr="00EB7EAA">
        <w:t>Rozwoju</w:t>
      </w:r>
      <w:r w:rsidR="00656606">
        <w:t xml:space="preserve"> </w:t>
      </w:r>
      <w:r w:rsidRPr="00EB7EAA">
        <w:t>Szkół</w:t>
      </w:r>
      <w:r w:rsidR="00656606">
        <w:t xml:space="preserve"> </w:t>
      </w:r>
      <w:r w:rsidRPr="00EB7EAA">
        <w:t>bądź</w:t>
      </w:r>
      <w:r w:rsidR="00656606">
        <w:t xml:space="preserve"> </w:t>
      </w:r>
      <w:r w:rsidR="00554EF1" w:rsidRPr="00EB7EAA">
        <w:t>innego</w:t>
      </w:r>
      <w:r w:rsidR="00656606">
        <w:t xml:space="preserve"> </w:t>
      </w:r>
      <w:r w:rsidR="003D2E9C" w:rsidRPr="00EB7EAA">
        <w:t>równoważnego</w:t>
      </w:r>
      <w:r w:rsidR="00656606">
        <w:t xml:space="preserve"> </w:t>
      </w:r>
      <w:r w:rsidR="003D2E9C" w:rsidRPr="00EB7EAA">
        <w:t>dokumentu</w:t>
      </w:r>
      <w:r w:rsidR="00656606">
        <w:t xml:space="preserve"> </w:t>
      </w:r>
      <w:r w:rsidR="003D2E9C" w:rsidRPr="00EB7EAA">
        <w:t>pełniącego</w:t>
      </w:r>
      <w:r w:rsidR="00656606">
        <w:t xml:space="preserve"> </w:t>
      </w:r>
      <w:r w:rsidR="00833AFE" w:rsidRPr="00EB7EAA">
        <w:t>taką</w:t>
      </w:r>
      <w:r w:rsidR="00656606">
        <w:t xml:space="preserve"> </w:t>
      </w:r>
      <w:r w:rsidR="003D2E9C" w:rsidRPr="00EB7EAA">
        <w:t>rolę</w:t>
      </w:r>
      <w:r w:rsidRPr="00EB7EAA">
        <w:t>,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też</w:t>
      </w:r>
      <w:r w:rsidR="00656606">
        <w:t xml:space="preserve"> </w:t>
      </w:r>
      <w:r w:rsidR="003D2E9C" w:rsidRPr="00EB7EAA">
        <w:t>innych</w:t>
      </w:r>
      <w:r w:rsidR="00656606">
        <w:t xml:space="preserve"> </w:t>
      </w:r>
      <w:r w:rsidR="003D2E9C" w:rsidRPr="00EB7EAA">
        <w:t>dokumentów</w:t>
      </w:r>
      <w:r w:rsidR="00554EF1" w:rsidRPr="00EB7EAA">
        <w:t>.</w:t>
      </w:r>
      <w:r w:rsidR="00656606">
        <w:t xml:space="preserve"> </w:t>
      </w:r>
      <w:r w:rsidR="00554EF1" w:rsidRPr="00EB7EAA">
        <w:t>Jeżeli</w:t>
      </w:r>
      <w:r w:rsidR="00656606">
        <w:t xml:space="preserve"> </w:t>
      </w:r>
      <w:r w:rsidR="00554EF1" w:rsidRPr="00EB7EAA">
        <w:t>z</w:t>
      </w:r>
      <w:r w:rsidR="00656606">
        <w:t xml:space="preserve"> </w:t>
      </w:r>
      <w:r w:rsidR="00554EF1" w:rsidRPr="00EB7EAA">
        <w:t>różnych</w:t>
      </w:r>
      <w:r w:rsidR="00656606">
        <w:t xml:space="preserve"> </w:t>
      </w:r>
      <w:r w:rsidR="00554EF1" w:rsidRPr="00EB7EAA">
        <w:t>przyczyn</w:t>
      </w:r>
      <w:r w:rsidR="00656606">
        <w:t xml:space="preserve"> </w:t>
      </w:r>
      <w:r w:rsidR="00554EF1" w:rsidRPr="00EB7EAA">
        <w:t>(np.</w:t>
      </w:r>
      <w:r w:rsidR="00656606">
        <w:t xml:space="preserve"> </w:t>
      </w:r>
      <w:r w:rsidR="00554EF1" w:rsidRPr="00EB7EAA">
        <w:t>przyczyn</w:t>
      </w:r>
      <w:r w:rsidR="00656606">
        <w:t xml:space="preserve"> </w:t>
      </w:r>
      <w:r w:rsidR="00554EF1" w:rsidRPr="00EB7EAA">
        <w:t>technicznych)</w:t>
      </w:r>
      <w:r w:rsidR="00656606">
        <w:t xml:space="preserve"> </w:t>
      </w:r>
      <w:r w:rsidR="00554EF1" w:rsidRPr="00EB7EAA">
        <w:t>nie</w:t>
      </w:r>
      <w:r w:rsidR="00656606">
        <w:t xml:space="preserve"> </w:t>
      </w:r>
      <w:r w:rsidR="00554EF1" w:rsidRPr="00EB7EAA">
        <w:t>będzie</w:t>
      </w:r>
      <w:r w:rsidR="00656606">
        <w:t xml:space="preserve"> </w:t>
      </w:r>
      <w:r w:rsidR="00554EF1" w:rsidRPr="00EB7EAA">
        <w:t>możliwe</w:t>
      </w:r>
      <w:r w:rsidR="00656606">
        <w:t xml:space="preserve"> </w:t>
      </w:r>
      <w:r w:rsidR="00554EF1" w:rsidRPr="00EB7EAA">
        <w:t>w</w:t>
      </w:r>
      <w:r w:rsidR="00656606">
        <w:t xml:space="preserve"> </w:t>
      </w:r>
      <w:r w:rsidR="00554EF1" w:rsidRPr="00EB7EAA">
        <w:t>niniejszym</w:t>
      </w:r>
      <w:r w:rsidR="00656606">
        <w:t xml:space="preserve"> </w:t>
      </w:r>
      <w:r w:rsidR="00554EF1" w:rsidRPr="00EB7EAA">
        <w:t>rozdziale</w:t>
      </w:r>
      <w:r w:rsidR="00656606">
        <w:t xml:space="preserve"> </w:t>
      </w:r>
      <w:r w:rsidR="00554EF1" w:rsidRPr="00EB7EAA">
        <w:t>uwzględnienie</w:t>
      </w:r>
      <w:r w:rsidR="00656606">
        <w:t xml:space="preserve"> </w:t>
      </w:r>
      <w:r w:rsidR="00554EF1" w:rsidRPr="00EB7EAA">
        <w:t>działającego</w:t>
      </w:r>
      <w:r w:rsidR="00656606">
        <w:t xml:space="preserve"> </w:t>
      </w:r>
      <w:r w:rsidR="00554EF1" w:rsidRPr="00EB7EAA">
        <w:t>linku</w:t>
      </w:r>
      <w:r w:rsidR="00656606">
        <w:t xml:space="preserve"> </w:t>
      </w:r>
      <w:r w:rsidR="00554EF1" w:rsidRPr="00EB7EAA">
        <w:t>odsyłającego</w:t>
      </w:r>
      <w:r w:rsidR="00656606">
        <w:t xml:space="preserve"> </w:t>
      </w:r>
      <w:r w:rsidR="00554EF1" w:rsidRPr="00EB7EAA">
        <w:t>do</w:t>
      </w:r>
      <w:r w:rsidR="00656606">
        <w:t xml:space="preserve"> </w:t>
      </w:r>
      <w:r w:rsidR="00C97013" w:rsidRPr="00EB7EAA">
        <w:t>st</w:t>
      </w:r>
      <w:r w:rsidR="00554EF1" w:rsidRPr="00EB7EAA">
        <w:t>os</w:t>
      </w:r>
      <w:r w:rsidR="00C97013" w:rsidRPr="00EB7EAA">
        <w:t>o</w:t>
      </w:r>
      <w:r w:rsidR="00554EF1" w:rsidRPr="00EB7EAA">
        <w:t>wnego</w:t>
      </w:r>
      <w:r w:rsidR="00656606">
        <w:t xml:space="preserve"> </w:t>
      </w:r>
      <w:r w:rsidR="00554EF1" w:rsidRPr="00EB7EAA">
        <w:t>dokumentu</w:t>
      </w:r>
      <w:r w:rsidR="00045DB7" w:rsidRPr="00EB7EAA">
        <w:t>,</w:t>
      </w:r>
      <w:r w:rsidR="00656606">
        <w:t xml:space="preserve"> </w:t>
      </w:r>
      <w:r w:rsidR="00045DB7" w:rsidRPr="00EB7EAA">
        <w:t>wówczas</w:t>
      </w:r>
      <w:r w:rsidR="00656606">
        <w:t xml:space="preserve"> </w:t>
      </w:r>
      <w:r w:rsidR="00045DB7" w:rsidRPr="00EB7EAA">
        <w:t>wnioskodawca</w:t>
      </w:r>
      <w:r w:rsidR="00656606">
        <w:t xml:space="preserve"> </w:t>
      </w:r>
      <w:r w:rsidR="00C97013" w:rsidRPr="00EB7EAA">
        <w:t>odpowiedni</w:t>
      </w:r>
      <w:r w:rsidR="00656606">
        <w:t xml:space="preserve"> </w:t>
      </w:r>
      <w:r w:rsidR="00C97013" w:rsidRPr="00EB7EAA">
        <w:t>dokument</w:t>
      </w:r>
      <w:r w:rsidR="00656606">
        <w:t xml:space="preserve"> </w:t>
      </w:r>
      <w:r w:rsidR="00C97013" w:rsidRPr="00EB7EAA">
        <w:t>załącza</w:t>
      </w:r>
      <w:r w:rsidR="00656606">
        <w:t xml:space="preserve"> </w:t>
      </w:r>
      <w:r w:rsidR="00C97013" w:rsidRPr="00EB7EAA">
        <w:t>w</w:t>
      </w:r>
      <w:r w:rsidR="00656606">
        <w:t xml:space="preserve"> </w:t>
      </w:r>
      <w:r w:rsidR="00C97013" w:rsidRPr="00EB7EAA">
        <w:t>formie</w:t>
      </w:r>
      <w:r w:rsidR="00656606">
        <w:t xml:space="preserve"> </w:t>
      </w:r>
      <w:r w:rsidR="00C97013" w:rsidRPr="00EB7EAA">
        <w:t>elektronicznej</w:t>
      </w:r>
      <w:r w:rsidR="00656606">
        <w:t xml:space="preserve"> </w:t>
      </w:r>
      <w:r w:rsidR="00C97013" w:rsidRPr="00EB7EAA">
        <w:t>(płyta</w:t>
      </w:r>
      <w:r w:rsidR="00656606">
        <w:t xml:space="preserve"> </w:t>
      </w:r>
      <w:r w:rsidR="00C97013" w:rsidRPr="00EB7EAA">
        <w:t>CD/DVD).</w:t>
      </w:r>
    </w:p>
    <w:p w14:paraId="78AD2582" w14:textId="77777777" w:rsidR="00F6508B" w:rsidRPr="00EB7EAA" w:rsidRDefault="00F6508B" w:rsidP="000029BB">
      <w:pPr>
        <w:pStyle w:val="Nagwek1"/>
        <w:numPr>
          <w:ilvl w:val="0"/>
          <w:numId w:val="2"/>
        </w:numPr>
        <w:jc w:val="both"/>
      </w:pPr>
      <w:bookmarkStart w:id="15" w:name="_Toc21079582"/>
      <w:r w:rsidRPr="00EB7EAA">
        <w:lastRenderedPageBreak/>
        <w:t>I</w:t>
      </w:r>
      <w:r w:rsidR="00C97013" w:rsidRPr="00EB7EAA">
        <w:t>nstytucjonalna</w:t>
      </w:r>
      <w:r w:rsidR="00656606">
        <w:t xml:space="preserve"> </w:t>
      </w:r>
      <w:r w:rsidR="00C97013" w:rsidRPr="00EB7EAA">
        <w:t>i</w:t>
      </w:r>
      <w:r w:rsidR="00656606">
        <w:t xml:space="preserve"> </w:t>
      </w:r>
      <w:r w:rsidR="00C97013" w:rsidRPr="00EB7EAA">
        <w:t>prawna</w:t>
      </w:r>
      <w:r w:rsidR="00656606">
        <w:t xml:space="preserve"> </w:t>
      </w:r>
      <w:r w:rsidRPr="00EB7EAA">
        <w:t>wykonalność</w:t>
      </w:r>
      <w:r w:rsidR="00656606">
        <w:t xml:space="preserve"> </w:t>
      </w:r>
      <w:r w:rsidRPr="00EB7EAA">
        <w:t>projektu</w:t>
      </w:r>
      <w:bookmarkEnd w:id="15"/>
    </w:p>
    <w:p w14:paraId="2584E6E3" w14:textId="77777777" w:rsidR="006A54DE" w:rsidRPr="00EB7EAA" w:rsidRDefault="00DF69F8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6" w:name="_Toc21079583"/>
      <w:r w:rsidRPr="00EB7EAA">
        <w:t>Analiza</w:t>
      </w:r>
      <w:r w:rsidR="00656606">
        <w:t xml:space="preserve"> </w:t>
      </w:r>
      <w:r w:rsidRPr="00EB7EAA">
        <w:t>instytucjonalna</w:t>
      </w:r>
      <w:bookmarkEnd w:id="16"/>
    </w:p>
    <w:p w14:paraId="769A5346" w14:textId="77777777" w:rsidR="00DF69F8" w:rsidRPr="00EB7EAA" w:rsidRDefault="00DF69F8" w:rsidP="00EB7EAA">
      <w:p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punkcie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należy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wskazać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opisać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strukturę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instytucjonalną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zarządzania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realizacją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projektu,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jak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również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strukturę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zarządzania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infrastrukturą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powstałą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wyniku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realizacji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projektu.</w:t>
      </w:r>
      <w:r w:rsidR="00656606">
        <w:rPr>
          <w:rFonts w:cs="Arial"/>
          <w:bCs/>
          <w:szCs w:val="24"/>
        </w:rPr>
        <w:t xml:space="preserve"> </w:t>
      </w:r>
    </w:p>
    <w:p w14:paraId="1979A935" w14:textId="77777777" w:rsidR="00DF69F8" w:rsidRPr="00EB7EAA" w:rsidRDefault="00DF69F8" w:rsidP="00EB7EAA">
      <w:p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Wymaganym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jest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przedstawienie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m.in.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informacji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na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temat:</w:t>
      </w:r>
    </w:p>
    <w:p w14:paraId="6B5D04A2" w14:textId="77777777" w:rsidR="00DF69F8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instytucji</w:t>
      </w:r>
      <w:r w:rsidR="00DF69F8" w:rsidRPr="00EB7EAA">
        <w:rPr>
          <w:rFonts w:cs="Arial"/>
          <w:bCs/>
          <w:szCs w:val="24"/>
        </w:rPr>
        <w:t>/</w:t>
      </w:r>
      <w:r w:rsidRPr="00EB7EAA">
        <w:rPr>
          <w:rFonts w:cs="Arial"/>
          <w:bCs/>
          <w:szCs w:val="24"/>
        </w:rPr>
        <w:t>podmiotów/</w:t>
      </w:r>
      <w:r w:rsidR="00DF69F8" w:rsidRPr="00EB7EAA">
        <w:rPr>
          <w:rFonts w:cs="Arial"/>
          <w:bCs/>
          <w:szCs w:val="24"/>
        </w:rPr>
        <w:t>osób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partnerów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zaangażowanych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w</w:t>
      </w:r>
      <w:r w:rsidR="00B537AF">
        <w:rPr>
          <w:rFonts w:cs="Arial"/>
          <w:bCs/>
          <w:szCs w:val="24"/>
        </w:rPr>
        <w:t> </w:t>
      </w:r>
      <w:r w:rsidR="00DF69F8" w:rsidRPr="00EB7EAA">
        <w:rPr>
          <w:rFonts w:cs="Arial"/>
          <w:bCs/>
          <w:szCs w:val="24"/>
        </w:rPr>
        <w:t>realizację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projektu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opisem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praw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obowiązków</w:t>
      </w:r>
      <w:r w:rsidR="00FE513C" w:rsidRPr="00EB7EAA">
        <w:rPr>
          <w:rFonts w:cs="Arial"/>
          <w:bCs/>
          <w:szCs w:val="24"/>
        </w:rPr>
        <w:t>;</w:t>
      </w:r>
    </w:p>
    <w:p w14:paraId="6A87A566" w14:textId="77777777" w:rsidR="00F003FE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właściciela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przedsięwzięcia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trakcie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jego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zakończeniu</w:t>
      </w:r>
      <w:r w:rsidR="00FE513C" w:rsidRPr="00EB7EAA">
        <w:rPr>
          <w:rFonts w:cs="Arial"/>
          <w:bCs/>
          <w:szCs w:val="24"/>
        </w:rPr>
        <w:t>;</w:t>
      </w:r>
    </w:p>
    <w:p w14:paraId="70E11F48" w14:textId="77777777" w:rsidR="00F003FE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rozwiązań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związanych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udostępnieniem</w:t>
      </w:r>
      <w:r w:rsidR="00656606">
        <w:rPr>
          <w:rFonts w:cs="Arial"/>
          <w:bCs/>
          <w:szCs w:val="24"/>
        </w:rPr>
        <w:t xml:space="preserve"> </w:t>
      </w:r>
      <w:r w:rsidR="004D6A3D" w:rsidRPr="00EB7EAA">
        <w:rPr>
          <w:rFonts w:cs="Arial"/>
          <w:bCs/>
          <w:szCs w:val="24"/>
        </w:rPr>
        <w:t>przedmiotowej</w:t>
      </w:r>
      <w:r w:rsidR="00656606">
        <w:rPr>
          <w:rFonts w:cs="Arial"/>
          <w:bCs/>
          <w:szCs w:val="24"/>
        </w:rPr>
        <w:t xml:space="preserve"> </w:t>
      </w:r>
      <w:r w:rsidR="004D6A3D" w:rsidRPr="00EB7EAA">
        <w:rPr>
          <w:rFonts w:cs="Arial"/>
          <w:bCs/>
          <w:szCs w:val="24"/>
        </w:rPr>
        <w:t>infrastru</w:t>
      </w:r>
      <w:r w:rsidR="00FE513C" w:rsidRPr="00EB7EAA">
        <w:rPr>
          <w:rFonts w:cs="Arial"/>
          <w:bCs/>
          <w:szCs w:val="24"/>
        </w:rPr>
        <w:t>ktury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podmiotom/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osobom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trzecim;</w:t>
      </w:r>
    </w:p>
    <w:p w14:paraId="0779F636" w14:textId="77777777" w:rsidR="004D6A3D" w:rsidRPr="00EB7EAA" w:rsidRDefault="004D6A3D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bezpośrednich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pośrednich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grup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docelowych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ewentualnych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problemów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ich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dotykających;</w:t>
      </w:r>
    </w:p>
    <w:p w14:paraId="6CE71C34" w14:textId="77777777" w:rsidR="00DF69F8" w:rsidRPr="00EB7EAA" w:rsidRDefault="004D6A3D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powiązań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innymi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podmiotami,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które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znajdują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się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obszarze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oddziaływania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</w:t>
      </w:r>
      <w:r w:rsidR="00FE513C" w:rsidRPr="00EB7EAA">
        <w:rPr>
          <w:rFonts w:cs="Arial"/>
          <w:bCs/>
          <w:szCs w:val="24"/>
        </w:rPr>
        <w:t>;</w:t>
      </w:r>
    </w:p>
    <w:p w14:paraId="7931E5A2" w14:textId="77777777" w:rsidR="006A54DE" w:rsidRPr="00EB7EAA" w:rsidRDefault="004D6A3D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7" w:name="_Toc21079584"/>
      <w:r w:rsidRPr="00EB7EAA">
        <w:t>A</w:t>
      </w:r>
      <w:r w:rsidR="00E8388C" w:rsidRPr="00EB7EAA">
        <w:t>naliza</w:t>
      </w:r>
      <w:r w:rsidR="00656606">
        <w:t xml:space="preserve"> </w:t>
      </w:r>
      <w:r w:rsidR="00E8388C" w:rsidRPr="00EB7EAA">
        <w:t>prawna</w:t>
      </w:r>
      <w:bookmarkEnd w:id="17"/>
    </w:p>
    <w:p w14:paraId="0A4363AD" w14:textId="77777777" w:rsidR="00F1707A" w:rsidRPr="00EB7EAA" w:rsidRDefault="00E8388C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="00F1707A" w:rsidRPr="00EB7EAA">
        <w:t>proszę</w:t>
      </w:r>
      <w:r w:rsidR="00656606">
        <w:t xml:space="preserve"> </w:t>
      </w:r>
      <w:r w:rsidR="00F1707A" w:rsidRPr="00EB7EAA">
        <w:t>przedstawić</w:t>
      </w:r>
      <w:r w:rsidR="00656606">
        <w:t xml:space="preserve"> </w:t>
      </w:r>
      <w:r w:rsidRPr="00EB7EAA">
        <w:t>kwestie</w:t>
      </w:r>
      <w:r w:rsidR="00656606">
        <w:t xml:space="preserve"> </w:t>
      </w:r>
      <w:r w:rsidR="00F1707A" w:rsidRPr="00EB7EAA">
        <w:t>formalno</w:t>
      </w:r>
      <w:r w:rsidR="00A64413">
        <w:t>-</w:t>
      </w:r>
      <w:r w:rsidR="00F1707A" w:rsidRPr="00EB7EAA">
        <w:t>prawne</w:t>
      </w:r>
      <w:r w:rsidR="00656606">
        <w:t xml:space="preserve"> </w:t>
      </w:r>
      <w:r w:rsidR="00F1707A" w:rsidRPr="00EB7EAA">
        <w:t>związane</w:t>
      </w:r>
      <w:r w:rsidR="00656606">
        <w:t xml:space="preserve"> </w:t>
      </w:r>
      <w:r w:rsidR="00F1707A" w:rsidRPr="00EB7EAA">
        <w:t>z</w:t>
      </w:r>
      <w:r w:rsidR="00A64413">
        <w:t> </w:t>
      </w:r>
      <w:r w:rsidR="00F1707A" w:rsidRPr="00EB7EAA">
        <w:t>realizacją</w:t>
      </w:r>
      <w:r w:rsidR="00656606">
        <w:t xml:space="preserve"> </w:t>
      </w:r>
      <w:r w:rsidR="00F1707A" w:rsidRPr="00EB7EAA">
        <w:t>projektu,</w:t>
      </w:r>
      <w:r w:rsidR="00656606">
        <w:t xml:space="preserve"> </w:t>
      </w:r>
      <w:r w:rsidR="00F1707A" w:rsidRPr="00EB7EAA">
        <w:t>w</w:t>
      </w:r>
      <w:r w:rsidR="00656606">
        <w:t xml:space="preserve"> </w:t>
      </w:r>
      <w:r w:rsidR="00F1707A" w:rsidRPr="00EB7EAA">
        <w:t>tym</w:t>
      </w:r>
      <w:r w:rsidR="00656606">
        <w:t xml:space="preserve"> </w:t>
      </w:r>
      <w:r w:rsidR="00F1707A" w:rsidRPr="00EB7EAA">
        <w:t>przede</w:t>
      </w:r>
      <w:r w:rsidR="00656606">
        <w:t xml:space="preserve"> </w:t>
      </w:r>
      <w:r w:rsidR="00F1707A" w:rsidRPr="00EB7EAA">
        <w:t>wszystkim</w:t>
      </w:r>
      <w:r w:rsidR="00656606">
        <w:t xml:space="preserve"> </w:t>
      </w:r>
      <w:r w:rsidR="00F1707A" w:rsidRPr="00EB7EAA">
        <w:t>stan</w:t>
      </w:r>
      <w:r w:rsidR="00656606">
        <w:t xml:space="preserve"> </w:t>
      </w:r>
      <w:r w:rsidR="00F1707A" w:rsidRPr="00EB7EAA">
        <w:t>prawny</w:t>
      </w:r>
      <w:r w:rsidR="00656606">
        <w:t xml:space="preserve"> </w:t>
      </w:r>
      <w:r w:rsidR="00F1707A" w:rsidRPr="00EB7EAA">
        <w:t>nieruchomości</w:t>
      </w:r>
      <w:r w:rsidR="00656606">
        <w:t xml:space="preserve"> </w:t>
      </w:r>
      <w:r w:rsidR="00F1707A" w:rsidRPr="00EB7EAA">
        <w:t>zabudowanej</w:t>
      </w:r>
      <w:r w:rsidR="00656606">
        <w:t xml:space="preserve"> </w:t>
      </w:r>
      <w:r w:rsidR="00F1707A" w:rsidRPr="00EB7EAA">
        <w:t>i</w:t>
      </w:r>
      <w:r w:rsidR="00656606">
        <w:t xml:space="preserve"> </w:t>
      </w:r>
      <w:r w:rsidR="00F1707A" w:rsidRPr="00EB7EAA">
        <w:t>niezabudowanej</w:t>
      </w:r>
      <w:r w:rsidRPr="00EB7EAA">
        <w:t>.</w:t>
      </w:r>
      <w:r w:rsidR="00656606">
        <w:t xml:space="preserve"> </w:t>
      </w:r>
    </w:p>
    <w:p w14:paraId="5653A602" w14:textId="77777777" w:rsidR="00F1707A" w:rsidRPr="00EB7EAA" w:rsidRDefault="00F1707A" w:rsidP="00576398">
      <w:pPr>
        <w:pStyle w:val="Akapitzlist"/>
      </w:pPr>
      <w:r w:rsidRPr="00EB7EAA">
        <w:t>Należy</w:t>
      </w:r>
      <w:r w:rsidR="00656606">
        <w:t xml:space="preserve"> </w:t>
      </w:r>
      <w:r w:rsidR="00E8388C" w:rsidRPr="00EB7EAA">
        <w:t>wymienić</w:t>
      </w:r>
      <w:r w:rsidR="00656606">
        <w:t xml:space="preserve"> </w:t>
      </w:r>
      <w:r w:rsidRPr="00EB7EAA">
        <w:t>wszystkie</w:t>
      </w:r>
      <w:r w:rsidR="00656606">
        <w:t xml:space="preserve"> </w:t>
      </w:r>
      <w:r w:rsidR="00E8388C" w:rsidRPr="00EB7EAA">
        <w:t>dokumenty</w:t>
      </w:r>
      <w:r w:rsidR="00656606">
        <w:t xml:space="preserve"> </w:t>
      </w:r>
      <w:r w:rsidR="00E8388C" w:rsidRPr="00EB7EAA">
        <w:t>warunkujące</w:t>
      </w:r>
      <w:r w:rsidR="00656606">
        <w:t xml:space="preserve"> </w:t>
      </w:r>
      <w:r w:rsidR="00E8388C" w:rsidRPr="00EB7EAA">
        <w:t>wykonanie</w:t>
      </w:r>
      <w:r w:rsidR="00656606">
        <w:t xml:space="preserve"> </w:t>
      </w:r>
      <w:r w:rsidRPr="00EB7EAA">
        <w:t>projektu</w:t>
      </w:r>
      <w:r w:rsidR="00FE513C" w:rsidRPr="00EB7EAA">
        <w:t>,</w:t>
      </w:r>
      <w:r w:rsidR="00656606">
        <w:t xml:space="preserve"> </w:t>
      </w:r>
      <w:r w:rsidR="00FE513C" w:rsidRPr="00EB7EAA">
        <w:t>takie</w:t>
      </w:r>
      <w:r w:rsidR="00656606">
        <w:t xml:space="preserve"> </w:t>
      </w:r>
      <w:r w:rsidR="00FE513C" w:rsidRPr="00EB7EAA">
        <w:t>jak</w:t>
      </w:r>
      <w:r w:rsidR="00656606">
        <w:t xml:space="preserve"> </w:t>
      </w:r>
      <w:r w:rsidRPr="00EB7EAA">
        <w:t>m.in.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budowę/zgłoszenie</w:t>
      </w:r>
      <w:r w:rsidR="00656606">
        <w:t xml:space="preserve"> </w:t>
      </w:r>
      <w:r w:rsidRPr="00EB7EAA">
        <w:t>robót</w:t>
      </w:r>
      <w:r w:rsidR="00656606">
        <w:t xml:space="preserve"> </w:t>
      </w:r>
      <w:r w:rsidRPr="00EB7EAA">
        <w:t>budowlanych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inne</w:t>
      </w:r>
      <w:r w:rsidR="00656606">
        <w:t xml:space="preserve"> </w:t>
      </w:r>
      <w:r w:rsidRPr="00EB7EAA">
        <w:t>pozwolenia</w:t>
      </w:r>
      <w:r w:rsidR="00656606">
        <w:t xml:space="preserve"> </w:t>
      </w:r>
      <w:r w:rsidRPr="00EB7EAA">
        <w:t>(np.</w:t>
      </w:r>
      <w:r w:rsidR="00656606">
        <w:t xml:space="preserve"> </w:t>
      </w:r>
      <w:r w:rsidR="009C593A" w:rsidRPr="00EB7EAA">
        <w:t>pozwolenie</w:t>
      </w:r>
      <w:r w:rsidR="00656606">
        <w:t xml:space="preserve"> </w:t>
      </w:r>
      <w:r w:rsidR="009C593A" w:rsidRPr="00EB7EAA">
        <w:t>konserwatora</w:t>
      </w:r>
      <w:r w:rsidR="00656606">
        <w:t xml:space="preserve"> </w:t>
      </w:r>
      <w:r w:rsidR="009C593A" w:rsidRPr="00EB7EAA">
        <w:t>zabytków,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wodno</w:t>
      </w:r>
      <w:r w:rsidR="00A64413">
        <w:t>-</w:t>
      </w:r>
      <w:r w:rsidR="00656606">
        <w:t xml:space="preserve"> </w:t>
      </w:r>
      <w:r w:rsidRPr="00EB7EAA">
        <w:t>prawne,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wycinkę</w:t>
      </w:r>
      <w:r w:rsidR="00656606">
        <w:t xml:space="preserve"> </w:t>
      </w:r>
      <w:r w:rsidRPr="00EB7EAA">
        <w:t>drzew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krzewów),</w:t>
      </w:r>
      <w:r w:rsidR="00656606">
        <w:t xml:space="preserve"> </w:t>
      </w:r>
      <w:r w:rsidRPr="00EB7EAA">
        <w:t>d</w:t>
      </w:r>
      <w:r w:rsidR="009C593A" w:rsidRPr="00EB7EAA">
        <w:t>ecyzja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środowiskowych</w:t>
      </w:r>
      <w:r w:rsidR="00656606">
        <w:t xml:space="preserve"> </w:t>
      </w:r>
      <w:r w:rsidRPr="00EB7EAA">
        <w:t>uwarunkowaniach</w:t>
      </w:r>
      <w:r w:rsidR="00656606">
        <w:t xml:space="preserve"> </w:t>
      </w:r>
      <w:r w:rsidRPr="00EB7EAA">
        <w:t>zgody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realizację</w:t>
      </w:r>
      <w:r w:rsidR="00656606">
        <w:t xml:space="preserve"> </w:t>
      </w:r>
      <w:r w:rsidRPr="00EB7EAA">
        <w:t>przedsięwzięcia,</w:t>
      </w:r>
      <w:r w:rsidR="00656606">
        <w:t xml:space="preserve"> </w:t>
      </w:r>
      <w:r w:rsidR="009C593A" w:rsidRPr="00EB7EAA">
        <w:t>itp.</w:t>
      </w:r>
    </w:p>
    <w:p w14:paraId="62148379" w14:textId="77777777" w:rsidR="00F1707A" w:rsidRPr="00EB7EAA" w:rsidRDefault="00FE513C" w:rsidP="00576398">
      <w:pPr>
        <w:pStyle w:val="Akapitzlist"/>
      </w:pPr>
      <w:r w:rsidRPr="00EB7EAA"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określić,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przygotowany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pod</w:t>
      </w:r>
      <w:r w:rsidR="00656606">
        <w:t xml:space="preserve"> </w:t>
      </w:r>
      <w:r w:rsidRPr="00EB7EAA">
        <w:t>względem</w:t>
      </w:r>
      <w:r w:rsidR="00656606">
        <w:t xml:space="preserve"> </w:t>
      </w:r>
      <w:r w:rsidRPr="00EB7EAA">
        <w:t>prawnym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jakie</w:t>
      </w:r>
      <w:r w:rsidR="00656606">
        <w:t xml:space="preserve"> </w:t>
      </w:r>
      <w:r w:rsidRPr="00EB7EAA">
        <w:t>decyzje/pozwolenia/opinie</w:t>
      </w:r>
      <w:r w:rsidR="00656606">
        <w:t xml:space="preserve"> </w:t>
      </w:r>
      <w:r w:rsidRPr="00EB7EAA">
        <w:t>pozostają</w:t>
      </w:r>
      <w:r w:rsidR="00656606">
        <w:t xml:space="preserve"> </w:t>
      </w:r>
      <w:r w:rsidRPr="00EB7EAA">
        <w:t>konieczne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uzyskania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celu</w:t>
      </w:r>
      <w:r w:rsidR="00656606">
        <w:t xml:space="preserve"> </w:t>
      </w:r>
      <w:r w:rsidRPr="00EB7EAA">
        <w:t>zapewnienia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eksploatacji</w:t>
      </w:r>
      <w:r w:rsidR="00656606">
        <w:t xml:space="preserve"> </w:t>
      </w:r>
      <w:r w:rsidRPr="00EB7EAA">
        <w:t>powstałej</w:t>
      </w:r>
      <w:r w:rsidR="00656606">
        <w:t xml:space="preserve"> </w:t>
      </w:r>
      <w:r w:rsidRPr="00EB7EAA">
        <w:t>infrastruktury.</w:t>
      </w:r>
      <w:r w:rsidR="00656606">
        <w:t xml:space="preserve"> </w:t>
      </w:r>
      <w:r w:rsidRPr="00EB7EAA">
        <w:t>Jeśli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momencie</w:t>
      </w:r>
      <w:r w:rsidR="00656606">
        <w:t xml:space="preserve"> </w:t>
      </w:r>
      <w:r w:rsidRPr="00EB7EAA">
        <w:t>sporządzania</w:t>
      </w:r>
      <w:r w:rsidR="00656606">
        <w:t xml:space="preserve"> </w:t>
      </w:r>
      <w:r w:rsidRPr="00EB7EAA">
        <w:t>SW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przygotowany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pod</w:t>
      </w:r>
      <w:r w:rsidR="00656606">
        <w:t xml:space="preserve"> </w:t>
      </w:r>
      <w:r w:rsidRPr="00EB7EAA">
        <w:t>względem</w:t>
      </w:r>
      <w:r w:rsidR="00656606">
        <w:t xml:space="preserve"> </w:t>
      </w:r>
      <w:r w:rsidRPr="00EB7EAA">
        <w:t>prawnym</w:t>
      </w:r>
      <w:r w:rsidR="00656606">
        <w:t xml:space="preserve"> </w:t>
      </w:r>
      <w:r w:rsidRPr="00EB7EAA">
        <w:t>koniecznym</w:t>
      </w:r>
      <w:r w:rsidR="00656606">
        <w:t xml:space="preserve"> </w:t>
      </w:r>
      <w:r w:rsidRPr="00EB7EAA">
        <w:t>pozostaje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Pr="00EB7EAA">
        <w:t>zakładanego</w:t>
      </w:r>
      <w:r w:rsidR="00656606">
        <w:t xml:space="preserve"> </w:t>
      </w:r>
      <w:r w:rsidRPr="00EB7EAA">
        <w:t>terminu</w:t>
      </w:r>
      <w:r w:rsidR="00656606">
        <w:t xml:space="preserve"> </w:t>
      </w:r>
      <w:r w:rsidRPr="00EB7EAA">
        <w:t>uzyskania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wykazanie</w:t>
      </w:r>
      <w:r w:rsidR="00656606">
        <w:t xml:space="preserve"> </w:t>
      </w:r>
      <w:r w:rsidRPr="00EB7EAA">
        <w:t>realności</w:t>
      </w:r>
      <w:r w:rsidR="00656606">
        <w:t xml:space="preserve"> </w:t>
      </w:r>
      <w:r w:rsidRPr="00EB7EAA">
        <w:t>przyjętego</w:t>
      </w:r>
      <w:r w:rsidR="00656606">
        <w:t xml:space="preserve"> </w:t>
      </w:r>
      <w:r w:rsidRPr="00EB7EAA">
        <w:t>harmonogramu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aspekcie.</w:t>
      </w:r>
    </w:p>
    <w:p w14:paraId="4804B69D" w14:textId="77777777" w:rsidR="006A54DE" w:rsidRPr="00EB7EAA" w:rsidRDefault="00167613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8" w:name="_Toc21079585"/>
      <w:r w:rsidRPr="00EB7EAA">
        <w:lastRenderedPageBreak/>
        <w:t>Analiza</w:t>
      </w:r>
      <w:r w:rsidR="00656606">
        <w:t xml:space="preserve"> </w:t>
      </w:r>
      <w:r w:rsidRPr="00EB7EAA">
        <w:t>trwałości</w:t>
      </w:r>
      <w:bookmarkEnd w:id="18"/>
    </w:p>
    <w:p w14:paraId="77DE6FF6" w14:textId="77777777" w:rsidR="00941BE7" w:rsidRPr="00EB7EAA" w:rsidRDefault="00167613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wskazać</w:t>
      </w:r>
      <w:r w:rsidR="009D6B96" w:rsidRPr="00EB7EAA">
        <w:t>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jaki</w:t>
      </w:r>
      <w:r w:rsidR="00656606">
        <w:t xml:space="preserve"> </w:t>
      </w:r>
      <w:r w:rsidRPr="00EB7EAA">
        <w:t>sposób</w:t>
      </w:r>
      <w:r w:rsidR="00656606">
        <w:t xml:space="preserve"> </w:t>
      </w:r>
      <w:r w:rsidRPr="00EB7EAA">
        <w:t>zostanie</w:t>
      </w:r>
      <w:r w:rsidR="00656606">
        <w:t xml:space="preserve"> </w:t>
      </w:r>
      <w:r w:rsidRPr="00EB7EAA">
        <w:t>zapewniona</w:t>
      </w:r>
      <w:r w:rsidR="00656606">
        <w:t xml:space="preserve"> </w:t>
      </w:r>
      <w:r w:rsidRPr="00EB7EAA">
        <w:t>prawidłowa</w:t>
      </w:r>
      <w:r w:rsidR="00656606">
        <w:t xml:space="preserve"> </w:t>
      </w:r>
      <w:r w:rsidRPr="00EB7EAA">
        <w:t>eksploatacja</w:t>
      </w:r>
      <w:r w:rsidR="00656606">
        <w:t xml:space="preserve"> </w:t>
      </w:r>
      <w:r w:rsidRPr="00EB7EAA">
        <w:t>infrastruktury/majątku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ramach</w:t>
      </w:r>
      <w:r w:rsidR="00656606">
        <w:t xml:space="preserve"> </w:t>
      </w:r>
      <w:r w:rsidRPr="00EB7EAA">
        <w:t>projektu.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udowodnić,</w:t>
      </w:r>
      <w:r w:rsidR="00656606">
        <w:t xml:space="preserve"> </w:t>
      </w:r>
      <w:r w:rsidRPr="00EB7EAA">
        <w:t>iż</w:t>
      </w:r>
      <w:r w:rsidR="00656606">
        <w:t xml:space="preserve"> </w:t>
      </w:r>
      <w:r w:rsidRPr="00EB7EAA">
        <w:t>przyjęte</w:t>
      </w:r>
      <w:r w:rsidR="00656606">
        <w:t xml:space="preserve"> </w:t>
      </w:r>
      <w:r w:rsidRPr="00EB7EAA">
        <w:t>rozwiązania</w:t>
      </w:r>
      <w:r w:rsidR="00656606">
        <w:t xml:space="preserve"> </w:t>
      </w:r>
      <w:r w:rsidRPr="00EB7EAA">
        <w:t>zapewnią</w:t>
      </w:r>
      <w:r w:rsidR="00656606">
        <w:t xml:space="preserve"> </w:t>
      </w:r>
      <w:r w:rsidRPr="00EB7EAA">
        <w:t>trwałość</w:t>
      </w:r>
      <w:r w:rsidR="00656606">
        <w:t xml:space="preserve"> </w:t>
      </w:r>
      <w:r w:rsidRPr="00EB7EAA">
        <w:t>proje</w:t>
      </w:r>
      <w:r w:rsidR="005012BE" w:rsidRPr="00EB7EAA">
        <w:t>ktu</w:t>
      </w:r>
      <w:r w:rsidR="00656606">
        <w:t xml:space="preserve"> </w:t>
      </w:r>
      <w:r w:rsidR="005012BE" w:rsidRPr="00EB7EAA">
        <w:t>w</w:t>
      </w:r>
      <w:r w:rsidR="00656606">
        <w:t xml:space="preserve"> </w:t>
      </w:r>
      <w:r w:rsidR="005012BE" w:rsidRPr="00EB7EAA">
        <w:t>okresie</w:t>
      </w:r>
      <w:r w:rsidR="00656606">
        <w:t xml:space="preserve"> </w:t>
      </w:r>
      <w:r w:rsidR="005012BE" w:rsidRPr="00EB7EAA">
        <w:t>co</w:t>
      </w:r>
      <w:r w:rsidR="00656606">
        <w:t xml:space="preserve"> </w:t>
      </w:r>
      <w:r w:rsidR="005012BE" w:rsidRPr="00EB7EAA">
        <w:t>najmniej</w:t>
      </w:r>
      <w:r w:rsidR="00656606">
        <w:t xml:space="preserve"> </w:t>
      </w:r>
      <w:r w:rsidR="005012BE" w:rsidRPr="00EB7EAA">
        <w:t>5</w:t>
      </w:r>
      <w:r w:rsidR="00656606">
        <w:t xml:space="preserve"> </w:t>
      </w:r>
      <w:r w:rsidR="005012BE" w:rsidRPr="00EB7EAA">
        <w:t>lat</w:t>
      </w:r>
      <w:r w:rsidR="00656606">
        <w:t xml:space="preserve"> </w:t>
      </w:r>
      <w:r w:rsidR="005012BE" w:rsidRPr="00EB7EAA">
        <w:t>(</w:t>
      </w: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przedsiębiorstw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sektora</w:t>
      </w:r>
      <w:r w:rsidR="00656606">
        <w:t xml:space="preserve"> </w:t>
      </w:r>
      <w:r w:rsidRPr="00EB7EAA">
        <w:t>MŚP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3</w:t>
      </w:r>
      <w:r w:rsidR="00656606">
        <w:t xml:space="preserve"> </w:t>
      </w:r>
      <w:r w:rsidRPr="00EB7EAA">
        <w:t>la</w:t>
      </w:r>
      <w:r w:rsidR="005012BE" w:rsidRPr="00EB7EAA">
        <w:t>t)</w:t>
      </w:r>
      <w:r w:rsidR="00656606">
        <w:t xml:space="preserve"> </w:t>
      </w:r>
      <w:r w:rsidR="005012BE" w:rsidRPr="00EB7EAA">
        <w:t>od</w:t>
      </w:r>
      <w:r w:rsidR="00656606">
        <w:t xml:space="preserve"> </w:t>
      </w:r>
      <w:r w:rsidR="005012BE" w:rsidRPr="00EB7EAA">
        <w:t>przekazania</w:t>
      </w:r>
      <w:r w:rsidR="00656606">
        <w:t xml:space="preserve"> </w:t>
      </w:r>
      <w:r w:rsidR="005012BE" w:rsidRPr="00EB7EAA">
        <w:t>przez</w:t>
      </w:r>
      <w:r w:rsidR="00656606">
        <w:t xml:space="preserve"> </w:t>
      </w:r>
      <w:r w:rsidR="005012BE" w:rsidRPr="00EB7EAA">
        <w:t>I</w:t>
      </w:r>
      <w:r w:rsidR="006F1D0F" w:rsidRPr="00EB7EAA">
        <w:t>nstytucję</w:t>
      </w:r>
      <w:r w:rsidR="00656606">
        <w:t xml:space="preserve"> </w:t>
      </w:r>
      <w:r w:rsidR="005012BE" w:rsidRPr="00EB7EAA">
        <w:t>Z</w:t>
      </w:r>
      <w:r w:rsidR="006F1D0F" w:rsidRPr="00EB7EAA">
        <w:t>arządzającą</w:t>
      </w:r>
      <w:r w:rsidR="00656606">
        <w:t xml:space="preserve"> </w:t>
      </w:r>
      <w:r w:rsidR="005012BE" w:rsidRPr="00EB7EAA">
        <w:t>płatności</w:t>
      </w:r>
      <w:r w:rsidR="00656606">
        <w:t xml:space="preserve"> </w:t>
      </w:r>
      <w:r w:rsidR="005012BE" w:rsidRPr="00EB7EAA">
        <w:t>końcowej</w:t>
      </w:r>
      <w:r w:rsidR="00656606">
        <w:t xml:space="preserve"> </w:t>
      </w:r>
      <w:r w:rsidR="005012BE" w:rsidRPr="00EB7EAA">
        <w:t>na</w:t>
      </w:r>
      <w:r w:rsidR="00656606">
        <w:t xml:space="preserve"> </w:t>
      </w:r>
      <w:r w:rsidR="005012BE" w:rsidRPr="00EB7EAA">
        <w:t>rzecz</w:t>
      </w:r>
      <w:r w:rsidR="00656606">
        <w:t xml:space="preserve"> </w:t>
      </w:r>
      <w:r w:rsidR="005012BE" w:rsidRPr="00EB7EAA">
        <w:t>beneficjenta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że</w:t>
      </w:r>
      <w:r w:rsidR="00656606">
        <w:t xml:space="preserve"> </w:t>
      </w:r>
      <w:r w:rsidRPr="00EB7EAA">
        <w:t>nie</w:t>
      </w:r>
      <w:r w:rsidR="00656606">
        <w:t xml:space="preserve"> </w:t>
      </w:r>
      <w:r w:rsidR="005012BE" w:rsidRPr="00EB7EAA">
        <w:t>zajdzie</w:t>
      </w:r>
      <w:r w:rsidR="00656606">
        <w:t xml:space="preserve"> </w:t>
      </w:r>
      <w:r w:rsidR="005012BE" w:rsidRPr="00EB7EAA">
        <w:t>którakolwiek</w:t>
      </w:r>
      <w:r w:rsidR="00656606">
        <w:t xml:space="preserve"> </w:t>
      </w:r>
      <w:r w:rsidR="005012BE" w:rsidRPr="00EB7EAA">
        <w:t>z</w:t>
      </w:r>
      <w:r w:rsidR="00656606">
        <w:t xml:space="preserve"> </w:t>
      </w:r>
      <w:r w:rsidR="005012BE" w:rsidRPr="00EB7EAA">
        <w:t>okoliczności,</w:t>
      </w:r>
      <w:r w:rsidR="00656606">
        <w:t xml:space="preserve"> </w:t>
      </w:r>
      <w:r w:rsidR="005012BE" w:rsidRPr="00EB7EAA">
        <w:t>o</w:t>
      </w:r>
      <w:r w:rsidR="00656606">
        <w:t xml:space="preserve"> </w:t>
      </w:r>
      <w:r w:rsidR="005012BE" w:rsidRPr="00EB7EAA">
        <w:t>których</w:t>
      </w:r>
      <w:r w:rsidR="00656606">
        <w:t xml:space="preserve"> </w:t>
      </w:r>
      <w:r w:rsidR="005012BE" w:rsidRPr="00EB7EAA">
        <w:t>mowa</w:t>
      </w:r>
      <w:r w:rsidR="00656606">
        <w:t xml:space="preserve"> </w:t>
      </w:r>
      <w:r w:rsidR="005012BE" w:rsidRPr="00EB7EAA">
        <w:t>w</w:t>
      </w:r>
      <w:r w:rsidR="00656606">
        <w:t xml:space="preserve"> </w:t>
      </w:r>
      <w:r w:rsidR="005012BE" w:rsidRPr="00EB7EAA">
        <w:t>art.</w:t>
      </w:r>
      <w:r w:rsidR="00656606">
        <w:t xml:space="preserve"> </w:t>
      </w:r>
      <w:r w:rsidR="005012BE" w:rsidRPr="00EB7EAA">
        <w:t>71</w:t>
      </w:r>
      <w:r w:rsidR="00656606">
        <w:rPr>
          <w:rFonts w:cs="Calibri,Italic"/>
          <w:b/>
          <w:iCs/>
        </w:rPr>
        <w:t xml:space="preserve"> </w:t>
      </w:r>
      <w:r w:rsidR="005012BE" w:rsidRPr="00EB7EAA">
        <w:rPr>
          <w:iCs/>
        </w:rPr>
        <w:t>Rozporządzenia</w:t>
      </w:r>
      <w:r w:rsidR="00656606">
        <w:rPr>
          <w:iCs/>
        </w:rPr>
        <w:t xml:space="preserve"> </w:t>
      </w:r>
      <w:r w:rsidR="005012BE" w:rsidRPr="00EB7EAA">
        <w:rPr>
          <w:iCs/>
        </w:rPr>
        <w:t>nr</w:t>
      </w:r>
      <w:r w:rsidR="00656606">
        <w:rPr>
          <w:iCs/>
        </w:rPr>
        <w:t xml:space="preserve"> </w:t>
      </w:r>
      <w:r w:rsidR="005012BE" w:rsidRPr="00EB7EAA">
        <w:rPr>
          <w:iCs/>
        </w:rPr>
        <w:t>1303/2013</w:t>
      </w:r>
      <w:r w:rsidR="00656606">
        <w:rPr>
          <w:iCs/>
        </w:rPr>
        <w:t xml:space="preserve"> </w:t>
      </w:r>
      <w:r w:rsidR="005012BE" w:rsidRPr="00EB7EAA">
        <w:rPr>
          <w:iCs/>
        </w:rPr>
        <w:t>tj.:</w:t>
      </w:r>
      <w:r w:rsidR="00656606">
        <w:t xml:space="preserve"> </w:t>
      </w:r>
    </w:p>
    <w:p w14:paraId="2B7A22C9" w14:textId="77777777" w:rsidR="00941BE7" w:rsidRPr="00EB7EAA" w:rsidRDefault="00656606" w:rsidP="00576398">
      <w:pPr>
        <w:pStyle w:val="Akapitzlist"/>
      </w:pPr>
      <w:r>
        <w:t xml:space="preserve"> </w:t>
      </w:r>
      <w:r w:rsidR="005012BE" w:rsidRPr="00EB7EAA">
        <w:t>zaprzestanie</w:t>
      </w:r>
      <w:r>
        <w:t xml:space="preserve"> </w:t>
      </w:r>
      <w:r w:rsidR="005012BE" w:rsidRPr="00EB7EAA">
        <w:t>działalności</w:t>
      </w:r>
      <w:r>
        <w:t xml:space="preserve"> </w:t>
      </w:r>
      <w:r w:rsidR="005012BE" w:rsidRPr="00EB7EAA">
        <w:t>produkcyjnej</w:t>
      </w:r>
      <w:r>
        <w:t xml:space="preserve"> </w:t>
      </w:r>
      <w:r w:rsidR="005012BE" w:rsidRPr="00EB7EAA">
        <w:t>lub</w:t>
      </w:r>
      <w:r>
        <w:t xml:space="preserve"> </w:t>
      </w:r>
      <w:r w:rsidR="005012BE" w:rsidRPr="00EB7EAA">
        <w:t>przeniesienie</w:t>
      </w:r>
      <w:r>
        <w:t xml:space="preserve"> </w:t>
      </w:r>
      <w:r w:rsidR="005012BE" w:rsidRPr="00EB7EAA">
        <w:t>jej</w:t>
      </w:r>
      <w:r>
        <w:t xml:space="preserve"> </w:t>
      </w:r>
      <w:r w:rsidR="005012BE" w:rsidRPr="00EB7EAA">
        <w:t>poza</w:t>
      </w:r>
      <w:r>
        <w:t xml:space="preserve"> </w:t>
      </w:r>
      <w:r w:rsidR="005012BE" w:rsidRPr="00EB7EAA">
        <w:t>obszar</w:t>
      </w:r>
      <w:r>
        <w:t xml:space="preserve"> </w:t>
      </w:r>
      <w:r w:rsidR="005012BE" w:rsidRPr="00EB7EAA">
        <w:t>objęty</w:t>
      </w:r>
      <w:r>
        <w:t xml:space="preserve"> </w:t>
      </w:r>
      <w:r w:rsidR="005012BE" w:rsidRPr="00EB7EAA">
        <w:t>programem;</w:t>
      </w:r>
      <w:r>
        <w:t xml:space="preserve"> </w:t>
      </w:r>
    </w:p>
    <w:p w14:paraId="07953A96" w14:textId="77777777" w:rsidR="00941BE7" w:rsidRPr="00EB7EAA" w:rsidRDefault="005012BE" w:rsidP="00576398">
      <w:pPr>
        <w:pStyle w:val="Akapitzlist"/>
      </w:pPr>
      <w:r w:rsidRPr="00EB7EAA">
        <w:t>zmiana</w:t>
      </w:r>
      <w:r w:rsidR="00656606">
        <w:t xml:space="preserve"> </w:t>
      </w:r>
      <w:r w:rsidRPr="00EB7EAA">
        <w:t>własności</w:t>
      </w:r>
      <w:r w:rsidR="00656606">
        <w:t xml:space="preserve"> </w:t>
      </w:r>
      <w:r w:rsidRPr="00EB7EAA">
        <w:t>elementu</w:t>
      </w:r>
      <w:r w:rsidR="00656606">
        <w:t xml:space="preserve"> </w:t>
      </w:r>
      <w:r w:rsidRPr="00EB7EAA">
        <w:t>infrastruktury,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daje</w:t>
      </w:r>
      <w:r w:rsidR="00656606">
        <w:t xml:space="preserve"> </w:t>
      </w:r>
      <w:r w:rsidRPr="00EB7EAA">
        <w:t>przedsiębiorstwu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podmiotowi</w:t>
      </w:r>
      <w:r w:rsidR="00656606">
        <w:t xml:space="preserve"> </w:t>
      </w:r>
      <w:r w:rsidRPr="00EB7EAA">
        <w:t>publicznemu</w:t>
      </w:r>
      <w:r w:rsidR="00656606">
        <w:t xml:space="preserve"> </w:t>
      </w:r>
      <w:r w:rsidRPr="00EB7EAA">
        <w:t>nienależne</w:t>
      </w:r>
      <w:r w:rsidR="00656606">
        <w:t xml:space="preserve"> </w:t>
      </w:r>
      <w:r w:rsidRPr="00EB7EAA">
        <w:t>korzyści;</w:t>
      </w:r>
      <w:r w:rsidR="00656606">
        <w:t xml:space="preserve"> </w:t>
      </w:r>
    </w:p>
    <w:p w14:paraId="02F53D80" w14:textId="77777777" w:rsidR="005012BE" w:rsidRPr="00EB7EAA" w:rsidRDefault="005012BE" w:rsidP="00576398">
      <w:pPr>
        <w:pStyle w:val="Akapitzlist"/>
      </w:pPr>
      <w:r w:rsidRPr="00EB7EAA">
        <w:t>istotna</w:t>
      </w:r>
      <w:r w:rsidR="00656606">
        <w:t xml:space="preserve"> </w:t>
      </w:r>
      <w:r w:rsidRPr="00EB7EAA">
        <w:t>zmiana</w:t>
      </w:r>
      <w:r w:rsidR="00656606">
        <w:t xml:space="preserve"> </w:t>
      </w:r>
      <w:r w:rsidRPr="00EB7EAA">
        <w:t>wpływająca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charakter</w:t>
      </w:r>
      <w:r w:rsidR="00656606">
        <w:t xml:space="preserve"> </w:t>
      </w:r>
      <w:r w:rsidRPr="00EB7EAA">
        <w:t>operacji,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warunki</w:t>
      </w:r>
      <w:r w:rsidR="00656606">
        <w:t xml:space="preserve"> </w:t>
      </w:r>
      <w:r w:rsidRPr="00EB7EAA">
        <w:t>wdrażania,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mogłaby</w:t>
      </w:r>
      <w:r w:rsidR="00656606">
        <w:t xml:space="preserve"> </w:t>
      </w:r>
      <w:r w:rsidRPr="00EB7EAA">
        <w:t>doprowadzić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naruszenia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pierwotnych</w:t>
      </w:r>
      <w:r w:rsidR="00656606">
        <w:t xml:space="preserve"> </w:t>
      </w:r>
      <w:r w:rsidRPr="00EB7EAA">
        <w:t>celów.</w:t>
      </w:r>
    </w:p>
    <w:p w14:paraId="15450309" w14:textId="77777777" w:rsidR="005012BE" w:rsidRPr="00EB7EAA" w:rsidRDefault="00941BE7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gdy</w:t>
      </w:r>
      <w:r w:rsidR="00656606">
        <w:t xml:space="preserve"> </w:t>
      </w:r>
      <w:r w:rsidRPr="00EB7EAA">
        <w:t>zajdzie</w:t>
      </w:r>
      <w:r w:rsidR="00656606">
        <w:t xml:space="preserve"> </w:t>
      </w:r>
      <w:r w:rsidRPr="00EB7EAA">
        <w:t>którakolwiek</w:t>
      </w:r>
      <w:r w:rsidR="00656606">
        <w:t xml:space="preserve"> </w:t>
      </w:r>
      <w:r w:rsidRPr="00EB7EAA">
        <w:t>z</w:t>
      </w:r>
      <w:r w:rsidR="00656606">
        <w:t xml:space="preserve"> </w:t>
      </w:r>
      <w:r w:rsidR="00415E30" w:rsidRPr="00EB7EAA">
        <w:t>okoliczności,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których</w:t>
      </w:r>
      <w:r w:rsidR="00656606">
        <w:t xml:space="preserve"> </w:t>
      </w:r>
      <w:r w:rsidRPr="00EB7EAA">
        <w:t>mowa</w:t>
      </w:r>
      <w:r w:rsidR="00656606">
        <w:t xml:space="preserve"> </w:t>
      </w:r>
      <w:r w:rsidRPr="00EB7EAA">
        <w:t>powyżej</w:t>
      </w:r>
      <w:r w:rsidR="00656606">
        <w:t xml:space="preserve"> </w:t>
      </w:r>
      <w:r w:rsidRPr="00EB7EAA">
        <w:t>to</w:t>
      </w:r>
      <w:r w:rsidR="00656606">
        <w:t xml:space="preserve"> </w:t>
      </w:r>
      <w:r w:rsidRPr="00EB7EAA">
        <w:t>zgodnie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art.</w:t>
      </w:r>
      <w:r w:rsidR="00656606">
        <w:t xml:space="preserve"> </w:t>
      </w:r>
      <w:r w:rsidRPr="00EB7EAA">
        <w:t>71</w:t>
      </w:r>
      <w:r w:rsidR="00656606">
        <w:rPr>
          <w:rFonts w:cs="Calibri,Italic"/>
          <w:b/>
          <w:iCs/>
        </w:rPr>
        <w:t xml:space="preserve"> </w:t>
      </w:r>
      <w:r w:rsidRPr="00EB7EAA">
        <w:rPr>
          <w:iCs/>
        </w:rPr>
        <w:t>Rozporządzenia</w:t>
      </w:r>
      <w:r w:rsidR="00656606">
        <w:rPr>
          <w:iCs/>
        </w:rPr>
        <w:t xml:space="preserve"> </w:t>
      </w:r>
      <w:r w:rsidRPr="00EB7EAA">
        <w:rPr>
          <w:iCs/>
        </w:rPr>
        <w:t>nr</w:t>
      </w:r>
      <w:r w:rsidR="00656606">
        <w:rPr>
          <w:iCs/>
        </w:rPr>
        <w:t xml:space="preserve"> </w:t>
      </w:r>
      <w:r w:rsidRPr="00EB7EAA">
        <w:rPr>
          <w:iCs/>
        </w:rPr>
        <w:t>1303/2013</w:t>
      </w:r>
      <w:r w:rsidR="00656606">
        <w:rPr>
          <w:iCs/>
        </w:rPr>
        <w:t xml:space="preserve"> </w:t>
      </w:r>
      <w:r w:rsidRPr="00EB7EAA">
        <w:t>kwoty</w:t>
      </w:r>
      <w:r w:rsidR="00656606">
        <w:t xml:space="preserve"> </w:t>
      </w:r>
      <w:r w:rsidRPr="00EB7EAA">
        <w:t>nienależnie</w:t>
      </w:r>
      <w:r w:rsidR="00656606">
        <w:t xml:space="preserve"> </w:t>
      </w:r>
      <w:r w:rsidRPr="00EB7EAA">
        <w:t>wypłacone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odniesieniu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takiej</w:t>
      </w:r>
      <w:r w:rsidR="00656606">
        <w:t xml:space="preserve"> </w:t>
      </w:r>
      <w:r w:rsidRPr="00EB7EAA">
        <w:t>operacji</w:t>
      </w:r>
      <w:r w:rsidR="00656606">
        <w:t xml:space="preserve"> </w:t>
      </w:r>
      <w:r w:rsidRPr="00EB7EAA">
        <w:t>są</w:t>
      </w:r>
      <w:r w:rsidR="00656606">
        <w:t xml:space="preserve"> </w:t>
      </w:r>
      <w:r w:rsidRPr="00EB7EAA">
        <w:t>odzyskiwane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państwo</w:t>
      </w:r>
      <w:r w:rsidR="00656606">
        <w:t xml:space="preserve"> </w:t>
      </w:r>
      <w:r w:rsidRPr="00EB7EAA">
        <w:t>członkowskie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wysokości</w:t>
      </w:r>
      <w:r w:rsidR="00656606">
        <w:t xml:space="preserve"> </w:t>
      </w:r>
      <w:r w:rsidRPr="00EB7EAA">
        <w:t>proporcjonalnej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okresu,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którym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spełniono</w:t>
      </w:r>
      <w:r w:rsidR="00656606">
        <w:t xml:space="preserve"> </w:t>
      </w:r>
      <w:r w:rsidRPr="00EB7EAA">
        <w:t>wymogów.</w:t>
      </w:r>
    </w:p>
    <w:p w14:paraId="13923835" w14:textId="77777777" w:rsidR="00167613" w:rsidRPr="00EB7EAA" w:rsidRDefault="00167613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szczególności</w:t>
      </w:r>
      <w:r w:rsidR="00656606">
        <w:t xml:space="preserve"> </w:t>
      </w:r>
      <w:r w:rsidRPr="00EB7EAA"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zawierać:</w:t>
      </w:r>
      <w:r w:rsidR="00656606">
        <w:t xml:space="preserve"> </w:t>
      </w:r>
    </w:p>
    <w:p w14:paraId="6B82FBC1" w14:textId="77777777" w:rsidR="00941BE7" w:rsidRPr="00EB7EAA" w:rsidRDefault="00167613" w:rsidP="00576398">
      <w:pPr>
        <w:pStyle w:val="Akapitzlist"/>
      </w:pPr>
      <w:r w:rsidRPr="00EB7EAA">
        <w:t>wskazanie</w:t>
      </w:r>
      <w:r w:rsidR="00656606">
        <w:t xml:space="preserve"> </w:t>
      </w:r>
      <w:r w:rsidRPr="00EB7EAA">
        <w:t>podmiotu</w:t>
      </w:r>
      <w:r w:rsidR="00656606">
        <w:t xml:space="preserve"> </w:t>
      </w:r>
      <w:r w:rsidRPr="00EB7EAA">
        <w:t>odpowiedzialnego</w:t>
      </w:r>
      <w:r w:rsidR="00656606">
        <w:t xml:space="preserve"> </w:t>
      </w:r>
      <w:r w:rsidRPr="00EB7EAA">
        <w:t>za</w:t>
      </w:r>
      <w:r w:rsidR="00656606">
        <w:t xml:space="preserve"> </w:t>
      </w:r>
      <w:r w:rsidRPr="00EB7EAA">
        <w:t>eksploatację</w:t>
      </w:r>
      <w:r w:rsidR="00656606">
        <w:t xml:space="preserve"> </w:t>
      </w:r>
      <w:r w:rsidRPr="00EB7EAA">
        <w:t>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ramach</w:t>
      </w:r>
      <w:r w:rsidR="00656606">
        <w:t xml:space="preserve"> </w:t>
      </w:r>
      <w:r w:rsidRPr="00EB7EAA">
        <w:t>projektu;</w:t>
      </w:r>
      <w:r w:rsidR="00656606">
        <w:t xml:space="preserve"> </w:t>
      </w:r>
      <w:r w:rsidRPr="00EB7EAA">
        <w:t>jego</w:t>
      </w:r>
      <w:r w:rsidR="00656606">
        <w:t xml:space="preserve"> </w:t>
      </w:r>
      <w:r w:rsidRPr="00EB7EAA">
        <w:t>charakterystykę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potwierdzenie</w:t>
      </w:r>
      <w:r w:rsidR="00656606">
        <w:t xml:space="preserve"> </w:t>
      </w:r>
      <w:r w:rsidRPr="00EB7EAA">
        <w:t>możliwości</w:t>
      </w:r>
      <w:r w:rsidR="00656606">
        <w:t xml:space="preserve"> </w:t>
      </w:r>
      <w:r w:rsidRPr="00EB7EAA">
        <w:t>zapewnienia</w:t>
      </w:r>
      <w:r w:rsidR="00656606">
        <w:t xml:space="preserve"> </w:t>
      </w:r>
      <w:r w:rsidRPr="00EB7EAA">
        <w:t>trwałości</w:t>
      </w:r>
      <w:r w:rsidR="00656606">
        <w:t xml:space="preserve"> </w:t>
      </w:r>
      <w:r w:rsidRPr="00EB7EAA">
        <w:t>funkcjonowania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okres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najmniej</w:t>
      </w:r>
      <w:r w:rsidR="00656606">
        <w:t xml:space="preserve"> </w:t>
      </w:r>
      <w:r w:rsidRPr="00EB7EAA">
        <w:t>5</w:t>
      </w:r>
      <w:r w:rsidR="00656606">
        <w:t xml:space="preserve"> </w:t>
      </w:r>
      <w:r w:rsidRPr="00EB7EAA">
        <w:t>lat</w:t>
      </w:r>
      <w:r w:rsidR="00656606">
        <w:t xml:space="preserve"> </w:t>
      </w:r>
      <w:r w:rsidRPr="00EB7EAA">
        <w:t>zakończenia,</w:t>
      </w:r>
      <w:r w:rsidR="00656606">
        <w:t xml:space="preserve"> </w:t>
      </w:r>
      <w:r w:rsidRPr="00EB7EAA">
        <w:t>a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przedsiębiorstw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sektora</w:t>
      </w:r>
      <w:r w:rsidR="00656606">
        <w:t xml:space="preserve"> </w:t>
      </w:r>
      <w:r w:rsidRPr="00EB7EAA">
        <w:t>MŚP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3</w:t>
      </w:r>
      <w:r w:rsidR="00656606">
        <w:t xml:space="preserve"> </w:t>
      </w:r>
      <w:r w:rsidRPr="00EB7EAA">
        <w:t>lat</w:t>
      </w:r>
      <w:r w:rsidR="00656606">
        <w:t xml:space="preserve"> </w:t>
      </w:r>
      <w:r w:rsidRPr="00EB7EAA">
        <w:t>od</w:t>
      </w:r>
      <w:r w:rsidR="00656606">
        <w:t xml:space="preserve"> </w:t>
      </w:r>
      <w:r w:rsidRPr="00EB7EAA">
        <w:t>zakończenia</w:t>
      </w:r>
      <w:r w:rsidR="00656606">
        <w:t xml:space="preserve"> </w:t>
      </w:r>
      <w:r w:rsidRPr="00EB7EAA">
        <w:t>projektu;</w:t>
      </w:r>
      <w:r w:rsidR="00656606">
        <w:t xml:space="preserve"> </w:t>
      </w:r>
    </w:p>
    <w:p w14:paraId="1B01054A" w14:textId="77777777" w:rsidR="00FE513C" w:rsidRPr="00EB7EAA" w:rsidRDefault="00167613" w:rsidP="00576398">
      <w:pPr>
        <w:pStyle w:val="Akapitzlist"/>
      </w:pPr>
      <w:r w:rsidRPr="00EB7EAA">
        <w:t>określenie</w:t>
      </w:r>
      <w:r w:rsidR="00656606">
        <w:t xml:space="preserve"> </w:t>
      </w:r>
      <w:r w:rsidRPr="00EB7EAA">
        <w:t>zasad</w:t>
      </w:r>
      <w:r w:rsidR="00656606">
        <w:t xml:space="preserve"> </w:t>
      </w:r>
      <w:r w:rsidRPr="00EB7EAA">
        <w:t>udostępniania</w:t>
      </w:r>
      <w:r w:rsidR="00656606">
        <w:t xml:space="preserve"> </w:t>
      </w:r>
      <w:r w:rsidRPr="00EB7EAA">
        <w:t>infrastruktury</w:t>
      </w:r>
      <w:r w:rsidR="00656606">
        <w:t xml:space="preserve"> </w:t>
      </w:r>
      <w:r w:rsidRPr="00EB7EAA">
        <w:t>powstałej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wyniku</w:t>
      </w:r>
      <w:r w:rsidR="00656606">
        <w:t xml:space="preserve"> </w:t>
      </w:r>
      <w:r w:rsidRPr="00EB7EAA">
        <w:t>inwestycji</w:t>
      </w:r>
      <w:r w:rsidR="00656606">
        <w:t xml:space="preserve"> </w:t>
      </w:r>
      <w:r w:rsidRPr="00EB7EAA">
        <w:t>i</w:t>
      </w:r>
      <w:r w:rsidR="004C5CCB">
        <w:t> </w:t>
      </w:r>
      <w:r w:rsidRPr="00EB7EAA">
        <w:t>zapewnienia</w:t>
      </w:r>
      <w:r w:rsidR="00656606">
        <w:t xml:space="preserve"> </w:t>
      </w:r>
      <w:r w:rsidRPr="00EB7EAA">
        <w:t>środków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utrzymanie</w:t>
      </w:r>
      <w:r w:rsidR="00656606">
        <w:t xml:space="preserve"> </w:t>
      </w:r>
      <w:r w:rsidRPr="00EB7EAA">
        <w:t>–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="00941BE7" w:rsidRPr="00EB7EAA">
        <w:t>trwałości</w:t>
      </w:r>
      <w:r w:rsidR="00656606">
        <w:t xml:space="preserve"> </w:t>
      </w:r>
      <w:r w:rsidR="00941BE7" w:rsidRPr="00EB7EAA">
        <w:t>finansowej</w:t>
      </w:r>
      <w:r w:rsidR="00656606">
        <w:t xml:space="preserve"> </w:t>
      </w:r>
      <w:r w:rsidR="00941BE7" w:rsidRPr="00EB7EAA">
        <w:t>projektu</w:t>
      </w:r>
      <w:r w:rsidR="00FE513C" w:rsidRPr="00EB7EAA">
        <w:t>;</w:t>
      </w:r>
    </w:p>
    <w:p w14:paraId="1134AA33" w14:textId="77777777" w:rsidR="006A54DE" w:rsidRPr="00EB7EAA" w:rsidRDefault="00FE513C" w:rsidP="00576398">
      <w:pPr>
        <w:pStyle w:val="Akapitzlist"/>
      </w:pPr>
      <w:r w:rsidRPr="00EB7EAA">
        <w:t>potwierdzenie</w:t>
      </w:r>
      <w:r w:rsidR="00656606">
        <w:t xml:space="preserve"> </w:t>
      </w:r>
      <w:r w:rsidRPr="00EB7EAA">
        <w:t>spełniania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norm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przepisów</w:t>
      </w:r>
      <w:r w:rsidR="00656606">
        <w:t xml:space="preserve"> </w:t>
      </w:r>
      <w:r w:rsidRPr="00EB7EAA">
        <w:t>krajowych</w:t>
      </w:r>
      <w:r w:rsidR="00656606">
        <w:t xml:space="preserve"> </w:t>
      </w:r>
      <w:r w:rsidRPr="00EB7EAA">
        <w:t>i</w:t>
      </w:r>
      <w:r w:rsidR="004C5CCB">
        <w:t> </w:t>
      </w:r>
      <w:r w:rsidRPr="00EB7EAA">
        <w:t>wspólnotowych.</w:t>
      </w:r>
      <w:r w:rsidR="00656606">
        <w:t xml:space="preserve"> </w:t>
      </w:r>
    </w:p>
    <w:p w14:paraId="2C72107D" w14:textId="77777777" w:rsidR="004D6A3D" w:rsidRPr="00EB7EAA" w:rsidRDefault="00167613" w:rsidP="00576398">
      <w:pPr>
        <w:pStyle w:val="Akapitzlist"/>
      </w:pPr>
      <w:r w:rsidRPr="00EB7EAA">
        <w:lastRenderedPageBreak/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przede</w:t>
      </w:r>
      <w:r w:rsidR="00656606">
        <w:t xml:space="preserve"> </w:t>
      </w:r>
      <w:r w:rsidRPr="00EB7EAA">
        <w:t>wszystkim</w:t>
      </w:r>
      <w:r w:rsidR="00656606">
        <w:t xml:space="preserve"> </w:t>
      </w:r>
      <w:r w:rsidRPr="00EB7EAA">
        <w:t>odpowiedzieć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pytania: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beneficjent</w:t>
      </w:r>
      <w:r w:rsidR="00656606">
        <w:t xml:space="preserve"> </w:t>
      </w:r>
      <w:r w:rsidRPr="00EB7EAA">
        <w:t>posiada</w:t>
      </w:r>
      <w:r w:rsidR="00656606">
        <w:t xml:space="preserve"> </w:t>
      </w:r>
      <w:r w:rsidRPr="00EB7EAA">
        <w:t>zdolność</w:t>
      </w:r>
      <w:r w:rsidR="00656606">
        <w:t xml:space="preserve"> </w:t>
      </w:r>
      <w:r w:rsidRPr="00EB7EAA">
        <w:t>organizacyjną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finansową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utrzymania</w:t>
      </w:r>
      <w:r w:rsidR="00656606">
        <w:t xml:space="preserve"> </w:t>
      </w:r>
      <w:r w:rsidRPr="00EB7EAA">
        <w:t>projektu?</w:t>
      </w:r>
      <w:r w:rsidR="00656606">
        <w:t xml:space="preserve"> </w:t>
      </w:r>
      <w:r w:rsidRPr="00EB7EAA">
        <w:t>Kto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zarządzał</w:t>
      </w:r>
      <w:r w:rsidR="00656606">
        <w:t xml:space="preserve"> </w:t>
      </w:r>
      <w:r w:rsidRPr="00EB7EAA">
        <w:t>projektem</w:t>
      </w:r>
      <w:r w:rsidR="00656606">
        <w:t xml:space="preserve"> </w:t>
      </w:r>
      <w:r w:rsidR="00941BE7" w:rsidRPr="00EB7EAA">
        <w:t>w</w:t>
      </w:r>
      <w:r w:rsidR="00656606">
        <w:t xml:space="preserve"> </w:t>
      </w:r>
      <w:r w:rsidR="00941BE7" w:rsidRPr="00EB7EAA">
        <w:t>okresie</w:t>
      </w:r>
      <w:r w:rsidR="00656606">
        <w:t xml:space="preserve"> </w:t>
      </w:r>
      <w:r w:rsidR="00941BE7" w:rsidRPr="00EB7EAA">
        <w:t>jego</w:t>
      </w:r>
      <w:r w:rsidR="00656606">
        <w:t xml:space="preserve"> </w:t>
      </w:r>
      <w:r w:rsidR="00941BE7" w:rsidRPr="00EB7EAA">
        <w:t>trwałości?</w:t>
      </w:r>
      <w:r w:rsidR="00656606">
        <w:t xml:space="preserve"> </w:t>
      </w:r>
      <w:r w:rsidRPr="00EB7EAA">
        <w:t>Kto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pokrywał</w:t>
      </w:r>
      <w:r w:rsidR="00656606">
        <w:t xml:space="preserve"> </w:t>
      </w:r>
      <w:r w:rsidRPr="00EB7EAA">
        <w:t>koszty</w:t>
      </w:r>
      <w:r w:rsidR="00656606">
        <w:t xml:space="preserve"> </w:t>
      </w:r>
      <w:r w:rsidRPr="00EB7EAA">
        <w:t>utrzymania/funkcjonowania</w:t>
      </w:r>
      <w:r w:rsidR="00656606">
        <w:t xml:space="preserve"> </w:t>
      </w:r>
      <w:r w:rsidRPr="00EB7EAA">
        <w:t>infrastruktury/majątku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ramach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="00941BE7" w:rsidRPr="00EB7EAA">
        <w:t>projektu</w:t>
      </w:r>
      <w:r w:rsidR="00566A32" w:rsidRPr="00EB7EAA">
        <w:t>?</w:t>
      </w:r>
    </w:p>
    <w:p w14:paraId="2EEF5A76" w14:textId="77777777" w:rsidR="00C26C8E" w:rsidRPr="00EB7EAA" w:rsidRDefault="00C26C8E" w:rsidP="00035653">
      <w:pPr>
        <w:pStyle w:val="Nagwek2"/>
        <w:numPr>
          <w:ilvl w:val="1"/>
          <w:numId w:val="2"/>
        </w:numPr>
        <w:jc w:val="both"/>
        <w:rPr>
          <w:i/>
        </w:rPr>
      </w:pPr>
      <w:bookmarkStart w:id="19" w:name="_Toc21079586"/>
      <w:r w:rsidRPr="00EB7EAA">
        <w:t>Harmonogram</w:t>
      </w:r>
      <w:r w:rsidR="00656606">
        <w:t xml:space="preserve"> </w:t>
      </w:r>
      <w:r w:rsidRPr="00EB7EAA">
        <w:t>wdrożenia</w:t>
      </w:r>
      <w:r w:rsidR="00656606">
        <w:t xml:space="preserve"> </w:t>
      </w:r>
      <w:r w:rsidRPr="00EB7EAA">
        <w:t>projektu</w:t>
      </w:r>
      <w:bookmarkEnd w:id="19"/>
    </w:p>
    <w:p w14:paraId="2F6E2C8C" w14:textId="77777777" w:rsidR="005012BE" w:rsidRPr="00EB7EAA" w:rsidRDefault="00C26C8E" w:rsidP="00EB7EAA">
      <w:pPr>
        <w:pStyle w:val="CM1"/>
        <w:spacing w:before="200" w:after="200"/>
        <w:jc w:val="both"/>
        <w:rPr>
          <w:rFonts w:ascii="Calibri" w:hAnsi="Calibri" w:cs="EUAlbertina"/>
        </w:rPr>
      </w:pPr>
      <w:r w:rsidRPr="00EB7EAA">
        <w:rPr>
          <w:rFonts w:ascii="Calibri" w:hAnsi="Calibri" w:cs="EUAlbertina"/>
        </w:rPr>
        <w:t>W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rozdziale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tym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należy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zaprezentować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wdrożenia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ujęciu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kwartalnym.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powinien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wskazywać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kolejność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wykonywanych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zadań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oraz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przewidywany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czas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realizacji.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M</w:t>
      </w:r>
      <w:r w:rsidRPr="00EB7EAA">
        <w:rPr>
          <w:rFonts w:ascii="Calibri" w:hAnsi="Calibri" w:cs="EUAlbertina"/>
        </w:rPr>
        <w:t>usi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on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obejmować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prace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przygotowawcze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(np.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Studium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wykonalności,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plany,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programy</w:t>
      </w:r>
      <w:r w:rsidR="005E1856" w:rsidRPr="00EB7EAA">
        <w:rPr>
          <w:rFonts w:ascii="Calibri" w:hAnsi="Calibri" w:cs="EUAlbertina"/>
        </w:rPr>
        <w:t>,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itp.),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projektowe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(np.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projekt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budowlany),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otrzymywanie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odpowiednich</w:t>
      </w:r>
      <w:r w:rsidR="00656606">
        <w:rPr>
          <w:rFonts w:ascii="Calibri" w:hAnsi="Calibri" w:cs="EUAlbertina"/>
        </w:rPr>
        <w:t xml:space="preserve"> </w:t>
      </w:r>
      <w:r w:rsidR="007F72B0" w:rsidRPr="00EB7EAA">
        <w:rPr>
          <w:rFonts w:ascii="Calibri" w:hAnsi="Calibri" w:cs="EUAlbertina"/>
        </w:rPr>
        <w:t>decyzji,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zezwoleń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i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dokumentów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wymaganych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prawem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oraz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procedury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przetargowej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i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realizacji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rzeczowej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projektu.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Zalecaną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formą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jest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zaprezentowany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poniżej</w:t>
      </w:r>
      <w:r w:rsidR="00656606">
        <w:rPr>
          <w:rFonts w:ascii="Calibri" w:hAnsi="Calibri" w:cs="EUAlbertina"/>
        </w:rPr>
        <w:t xml:space="preserve"> </w:t>
      </w:r>
      <w:r w:rsidR="00ED487E" w:rsidRPr="00EB7EAA">
        <w:rPr>
          <w:rFonts w:ascii="Calibri" w:hAnsi="Calibri" w:cs="EUAlbertina"/>
        </w:rPr>
        <w:t>przykładowy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wykres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Gantta</w:t>
      </w:r>
      <w:r w:rsidR="005E1856" w:rsidRPr="00EB7EAA">
        <w:rPr>
          <w:rFonts w:ascii="Calibri" w:hAnsi="Calibri" w:cs="EUAlbertin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435"/>
        <w:gridCol w:w="517"/>
        <w:gridCol w:w="599"/>
        <w:gridCol w:w="618"/>
        <w:gridCol w:w="435"/>
        <w:gridCol w:w="517"/>
        <w:gridCol w:w="599"/>
        <w:gridCol w:w="618"/>
        <w:gridCol w:w="435"/>
        <w:gridCol w:w="517"/>
        <w:gridCol w:w="599"/>
        <w:gridCol w:w="618"/>
      </w:tblGrid>
      <w:tr w:rsidR="00AF58B9" w:rsidRPr="00EB7EAA" w14:paraId="220BD542" w14:textId="77777777" w:rsidTr="00246F1C">
        <w:trPr>
          <w:jc w:val="center"/>
        </w:trPr>
        <w:tc>
          <w:tcPr>
            <w:tcW w:w="1337" w:type="pct"/>
            <w:vMerge w:val="restart"/>
          </w:tcPr>
          <w:p w14:paraId="30AFBBD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Nazwa</w:t>
            </w:r>
            <w:r w:rsidR="0065660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221" w:type="pct"/>
            <w:gridSpan w:val="4"/>
          </w:tcPr>
          <w:p w14:paraId="60C718A6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221" w:type="pct"/>
            <w:gridSpan w:val="4"/>
          </w:tcPr>
          <w:p w14:paraId="510992D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221" w:type="pct"/>
            <w:gridSpan w:val="4"/>
          </w:tcPr>
          <w:p w14:paraId="77520EB9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</w:tr>
      <w:tr w:rsidR="00AF58B9" w:rsidRPr="00EB7EAA" w14:paraId="24C1C9B1" w14:textId="77777777" w:rsidTr="00246F1C">
        <w:trPr>
          <w:jc w:val="center"/>
        </w:trPr>
        <w:tc>
          <w:tcPr>
            <w:tcW w:w="1337" w:type="pct"/>
            <w:vMerge/>
          </w:tcPr>
          <w:p w14:paraId="3B00F6C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2F090EA9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14:paraId="09842A5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14:paraId="2E59D16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14:paraId="46C34F4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245" w:type="pct"/>
          </w:tcPr>
          <w:p w14:paraId="4DC5687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14:paraId="2945082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14:paraId="58577E9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14:paraId="2FA125D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245" w:type="pct"/>
          </w:tcPr>
          <w:p w14:paraId="5434F2DB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14:paraId="0E55A84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14:paraId="07259B2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14:paraId="48BD646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</w:tr>
      <w:tr w:rsidR="00AF58B9" w:rsidRPr="00EB7EAA" w14:paraId="61D2456F" w14:textId="77777777" w:rsidTr="00246F1C">
        <w:trPr>
          <w:trHeight w:val="481"/>
          <w:jc w:val="center"/>
        </w:trPr>
        <w:tc>
          <w:tcPr>
            <w:tcW w:w="1337" w:type="pct"/>
          </w:tcPr>
          <w:p w14:paraId="396351F5" w14:textId="77777777" w:rsidR="00AF58B9" w:rsidRPr="00EB7EAA" w:rsidRDefault="00D67FA1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Prace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przygotowawcze</w:t>
            </w:r>
          </w:p>
        </w:tc>
        <w:tc>
          <w:tcPr>
            <w:tcW w:w="245" w:type="pct"/>
            <w:shd w:val="clear" w:color="auto" w:fill="808080"/>
          </w:tcPr>
          <w:p w14:paraId="324C08D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14:paraId="29FCA62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14:paraId="5C7E2165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6DD3FEA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78DC1F4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FA9015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01A668D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6811A77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0852A7D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65FDFB6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5BA3B5B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327F89B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04E6A5C7" w14:textId="77777777" w:rsidTr="00246F1C">
        <w:trPr>
          <w:trHeight w:val="481"/>
          <w:jc w:val="center"/>
        </w:trPr>
        <w:tc>
          <w:tcPr>
            <w:tcW w:w="1337" w:type="pct"/>
          </w:tcPr>
          <w:p w14:paraId="5ABE9002" w14:textId="77777777" w:rsidR="00AF58B9" w:rsidRPr="00EB7EAA" w:rsidRDefault="00D67FA1" w:rsidP="00EB7EAA">
            <w:pPr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Prace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projektowe</w:t>
            </w:r>
          </w:p>
        </w:tc>
        <w:tc>
          <w:tcPr>
            <w:tcW w:w="245" w:type="pct"/>
          </w:tcPr>
          <w:p w14:paraId="5BA7910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808080"/>
          </w:tcPr>
          <w:p w14:paraId="46731CB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14:paraId="4920B52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06D16C0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14:paraId="2B296B55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14:paraId="6F077737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14:paraId="0C7562E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0E61184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3DEE4BF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79E6191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0B5CEAE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06ABB90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76362D82" w14:textId="77777777" w:rsidTr="00246F1C">
        <w:trPr>
          <w:trHeight w:val="481"/>
          <w:jc w:val="center"/>
        </w:trPr>
        <w:tc>
          <w:tcPr>
            <w:tcW w:w="1337" w:type="pct"/>
          </w:tcPr>
          <w:p w14:paraId="1F728169" w14:textId="77777777" w:rsidR="00AF58B9" w:rsidRPr="00EB7EAA" w:rsidRDefault="00D67FA1" w:rsidP="00EB7EAA">
            <w:pPr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Decyzje/zezwolenia</w:t>
            </w:r>
          </w:p>
        </w:tc>
        <w:tc>
          <w:tcPr>
            <w:tcW w:w="245" w:type="pct"/>
          </w:tcPr>
          <w:p w14:paraId="06DB62E1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96CFB07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808080"/>
          </w:tcPr>
          <w:p w14:paraId="54E6F23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3AE7FEE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14:paraId="712BB21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45C476B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532CA1B9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7245057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5CF0204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0312AFCB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7EEE9F1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235B075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744A2037" w14:textId="77777777" w:rsidTr="00246F1C">
        <w:trPr>
          <w:trHeight w:val="481"/>
          <w:jc w:val="center"/>
        </w:trPr>
        <w:tc>
          <w:tcPr>
            <w:tcW w:w="1337" w:type="pct"/>
          </w:tcPr>
          <w:p w14:paraId="177CD34F" w14:textId="77777777" w:rsidR="00AF58B9" w:rsidRPr="00EB7EAA" w:rsidRDefault="00D67FA1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Procedura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przetargowa</w:t>
            </w:r>
          </w:p>
        </w:tc>
        <w:tc>
          <w:tcPr>
            <w:tcW w:w="245" w:type="pct"/>
          </w:tcPr>
          <w:p w14:paraId="2AC3339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1D9E58E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5EC49EB5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808080"/>
          </w:tcPr>
          <w:p w14:paraId="38095FF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5AB37B3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14:paraId="328BE4A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3BD06A95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4595B6A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1B8C634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73C89ED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72834D7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3240A015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515B9920" w14:textId="77777777" w:rsidTr="00246F1C">
        <w:trPr>
          <w:trHeight w:val="481"/>
          <w:jc w:val="center"/>
        </w:trPr>
        <w:tc>
          <w:tcPr>
            <w:tcW w:w="1337" w:type="pct"/>
          </w:tcPr>
          <w:p w14:paraId="5AC2CEF9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Rozpoczęcie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realizacji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rzeczowej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14:paraId="7E8AFCF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518BAF9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10C9B18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24AB93E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808080"/>
          </w:tcPr>
          <w:p w14:paraId="6555F04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CF02BE3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14:paraId="14D0779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1C8974D7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6054156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14C6CEB7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29F50D56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390D615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6F90959A" w14:textId="77777777" w:rsidTr="00246F1C">
        <w:trPr>
          <w:trHeight w:val="481"/>
          <w:jc w:val="center"/>
        </w:trPr>
        <w:tc>
          <w:tcPr>
            <w:tcW w:w="1337" w:type="pct"/>
          </w:tcPr>
          <w:p w14:paraId="420E30A6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Zakończenie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realizacji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rzeczowej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14:paraId="356D29D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7EB1FA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52294D5C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1589B58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5F053C6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808080"/>
          </w:tcPr>
          <w:p w14:paraId="66EC19A1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0AA0353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3F2759C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14:paraId="63AAE68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E59AED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41954EF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1804146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14:paraId="5562E7C4" w14:textId="77777777" w:rsidTr="00246F1C">
        <w:trPr>
          <w:trHeight w:val="481"/>
          <w:jc w:val="center"/>
        </w:trPr>
        <w:tc>
          <w:tcPr>
            <w:tcW w:w="1337" w:type="pct"/>
          </w:tcPr>
          <w:p w14:paraId="18C8266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Zakończenie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finansowe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14:paraId="51757E1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37398F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24C1112E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1DBCE170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14:paraId="7221435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0121C058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808080"/>
          </w:tcPr>
          <w:p w14:paraId="06DCB222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BAA84BD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14:paraId="37B32974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6F4A20C1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14:paraId="09D76F3F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14:paraId="28D3835A" w14:textId="77777777"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E621C66" w14:textId="77777777" w:rsidR="00ED487E" w:rsidRPr="00EB7EAA" w:rsidRDefault="00ED487E" w:rsidP="00EB7EAA">
      <w:pPr>
        <w:pStyle w:val="Bezodstpw"/>
        <w:jc w:val="both"/>
      </w:pPr>
    </w:p>
    <w:p w14:paraId="24E858DC" w14:textId="77777777" w:rsidR="006A54DE" w:rsidRPr="00EB7EAA" w:rsidRDefault="002B4F35" w:rsidP="000029BB">
      <w:pPr>
        <w:pStyle w:val="Nagwek1"/>
        <w:numPr>
          <w:ilvl w:val="0"/>
          <w:numId w:val="2"/>
        </w:numPr>
        <w:jc w:val="both"/>
      </w:pPr>
      <w:bookmarkStart w:id="20" w:name="_Toc21079587"/>
      <w:r w:rsidRPr="00EB7EAA">
        <w:t>Analiza</w:t>
      </w:r>
      <w:r w:rsidR="00656606">
        <w:t xml:space="preserve"> </w:t>
      </w:r>
      <w:r w:rsidRPr="00EB7EAA">
        <w:t>wykonalności,</w:t>
      </w:r>
      <w:r w:rsidR="00656606">
        <w:t xml:space="preserve"> </w:t>
      </w:r>
      <w:r w:rsidRPr="00EB7EAA">
        <w:t>analiza</w:t>
      </w:r>
      <w:r w:rsidR="00656606">
        <w:t xml:space="preserve"> </w:t>
      </w:r>
      <w:r w:rsidRPr="00EB7EAA">
        <w:t>popytu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analiza</w:t>
      </w:r>
      <w:r w:rsidR="00656606">
        <w:t xml:space="preserve"> </w:t>
      </w:r>
      <w:r w:rsidRPr="00EB7EAA">
        <w:t>opcji</w:t>
      </w:r>
      <w:bookmarkEnd w:id="20"/>
    </w:p>
    <w:p w14:paraId="00A5C7AB" w14:textId="77777777" w:rsidR="00FB2F99" w:rsidRPr="00EB7EAA" w:rsidRDefault="00FB2F99" w:rsidP="00EB7EAA">
      <w:pPr>
        <w:pStyle w:val="Default"/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decydująca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właściwej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identyfikacji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najbardziej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opłacalnego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technicznego.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Wybierając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zwrócić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uwagę,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faktycznie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przyczyniają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  <w:bCs/>
        </w:rPr>
        <w:t>określania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różnych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zakresów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możliwości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realizacji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projektu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Chodzi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skupić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  <w:bCs/>
        </w:rPr>
        <w:t>ograniczonej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liczbie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istotnych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technicznie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wykonalnych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opcji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ułatwienia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odpowiedzieć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pytania:</w:t>
      </w:r>
    </w:p>
    <w:p w14:paraId="72E99321" w14:textId="77777777" w:rsidR="00FB2F99" w:rsidRPr="00EB7EAA" w:rsidRDefault="00FB2F99" w:rsidP="00265A33">
      <w:pPr>
        <w:pStyle w:val="Default"/>
        <w:keepNext/>
        <w:numPr>
          <w:ilvl w:val="0"/>
          <w:numId w:val="3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wcześniej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potrzeby?</w:t>
      </w:r>
    </w:p>
    <w:p w14:paraId="05BE590C" w14:textId="77777777" w:rsidR="00FB2F99" w:rsidRPr="00EB7EAA" w:rsidRDefault="00FB2F99" w:rsidP="00265A33">
      <w:pPr>
        <w:pStyle w:val="Default"/>
        <w:numPr>
          <w:ilvl w:val="0"/>
          <w:numId w:val="39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odpowiadają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społeczności?</w:t>
      </w:r>
    </w:p>
    <w:p w14:paraId="726ACA58" w14:textId="77777777" w:rsidR="00E97161" w:rsidRPr="00EB7EAA" w:rsidRDefault="00E9716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reguły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lecz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rozwiązań.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zaplanowanych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wczesnym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pokazuje,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często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projektodawca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niesformalizowaną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podjęciem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decyzji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niemniej,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niekompletna,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budowlane),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trudno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skłonić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nawet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opłacalną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D842A9">
        <w:rPr>
          <w:sz w:val="24"/>
          <w:szCs w:val="24"/>
        </w:rPr>
        <w:t> </w:t>
      </w:r>
      <w:r w:rsidRPr="00EB7EAA">
        <w:rPr>
          <w:sz w:val="24"/>
          <w:szCs w:val="24"/>
        </w:rPr>
        <w:t>społecznego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widzenia.</w:t>
      </w:r>
    </w:p>
    <w:p w14:paraId="05E17986" w14:textId="77777777" w:rsidR="006A54DE" w:rsidRPr="00EB7EAA" w:rsidRDefault="00E97161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sz w:val="24"/>
          <w:szCs w:val="24"/>
        </w:rPr>
        <w:t>Często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zaplanowana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D842A9">
        <w:rPr>
          <w:sz w:val="24"/>
          <w:szCs w:val="24"/>
        </w:rPr>
        <w:t> </w:t>
      </w:r>
      <w:r w:rsidRPr="00EB7EAA">
        <w:rPr>
          <w:sz w:val="24"/>
          <w:szCs w:val="24"/>
        </w:rPr>
        <w:t>możliwych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formalizowania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7016DF" w:rsidRPr="00EB7EAA">
        <w:rPr>
          <w:sz w:val="24"/>
          <w:szCs w:val="24"/>
        </w:rPr>
        <w:t>w</w:t>
      </w:r>
      <w:r w:rsidR="00FB2F99" w:rsidRPr="00EB7EAA">
        <w:rPr>
          <w:sz w:val="24"/>
          <w:szCs w:val="24"/>
        </w:rPr>
        <w:t>nioskodawca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zobligowany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wykazać,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wybrany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niego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wariant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najlepszy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spośród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wszelkich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możliwych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alternatywnych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rozwiązań.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tym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celu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wymaganym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jest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przeprowadzenie:</w:t>
      </w:r>
    </w:p>
    <w:p w14:paraId="35FFBE5B" w14:textId="77777777" w:rsidR="00FB2F99" w:rsidRPr="00EB7EAA" w:rsidRDefault="00FB2F99" w:rsidP="00265A33">
      <w:pPr>
        <w:pStyle w:val="Default"/>
        <w:numPr>
          <w:ilvl w:val="0"/>
          <w:numId w:val="23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wykonalności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uznać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wykonalne)</w:t>
      </w:r>
      <w:r w:rsidR="007016DF" w:rsidRPr="00EB7EAA">
        <w:rPr>
          <w:rFonts w:ascii="Calibri" w:hAnsi="Calibri"/>
        </w:rPr>
        <w:t>.</w:t>
      </w:r>
    </w:p>
    <w:p w14:paraId="2F367723" w14:textId="77777777" w:rsidR="00FB2F99" w:rsidRPr="00EB7EAA" w:rsidRDefault="00FB2F99" w:rsidP="00265A33">
      <w:pPr>
        <w:pStyle w:val="Default"/>
        <w:numPr>
          <w:ilvl w:val="0"/>
          <w:numId w:val="23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popytu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ilościowe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inwestycji)</w:t>
      </w:r>
      <w:r w:rsidR="007016DF" w:rsidRPr="00EB7EAA">
        <w:rPr>
          <w:rFonts w:ascii="Calibri" w:hAnsi="Calibri"/>
        </w:rPr>
        <w:t>.</w:t>
      </w:r>
    </w:p>
    <w:p w14:paraId="57853788" w14:textId="77777777" w:rsidR="00FB2F99" w:rsidRPr="00EB7EAA" w:rsidRDefault="00FB2F99" w:rsidP="00265A33">
      <w:pPr>
        <w:pStyle w:val="Default"/>
        <w:numPr>
          <w:ilvl w:val="0"/>
          <w:numId w:val="23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opcji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(porównanie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ocena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zastosowania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etapie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wykonalności)</w:t>
      </w:r>
      <w:r w:rsidR="007016DF" w:rsidRPr="00EB7EAA">
        <w:rPr>
          <w:rFonts w:ascii="Calibri" w:hAnsi="Calibri"/>
        </w:rPr>
        <w:t>.</w:t>
      </w:r>
    </w:p>
    <w:p w14:paraId="2CB030A1" w14:textId="77777777" w:rsidR="008141CD" w:rsidRPr="00EB7EAA" w:rsidRDefault="002B4F35" w:rsidP="00EB7EAA">
      <w:pPr>
        <w:pStyle w:val="Default"/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wnioskodawca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pkt.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5.4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dokonać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zastosowania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sformułować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uzasadnienie.</w:t>
      </w:r>
      <w:r w:rsidR="00656606">
        <w:rPr>
          <w:rFonts w:ascii="Calibri" w:hAnsi="Calibri"/>
        </w:rPr>
        <w:t xml:space="preserve"> </w:t>
      </w:r>
    </w:p>
    <w:p w14:paraId="7E464A41" w14:textId="77777777" w:rsidR="006A54DE" w:rsidRPr="00EB7EAA" w:rsidRDefault="008141CD" w:rsidP="00EB7EAA">
      <w:pPr>
        <w:pStyle w:val="Nagwek2"/>
        <w:jc w:val="both"/>
        <w:rPr>
          <w:i/>
        </w:rPr>
      </w:pPr>
      <w:bookmarkStart w:id="21" w:name="_Toc21079588"/>
      <w:r w:rsidRPr="00EB7EAA">
        <w:t>Analiza</w:t>
      </w:r>
      <w:r w:rsidR="00656606">
        <w:t xml:space="preserve"> </w:t>
      </w:r>
      <w:r w:rsidRPr="00EB7EAA">
        <w:t>wykonalności</w:t>
      </w:r>
      <w:bookmarkEnd w:id="21"/>
    </w:p>
    <w:p w14:paraId="699BA189" w14:textId="77777777" w:rsidR="005A2E96" w:rsidRPr="00EB7EAA" w:rsidRDefault="00B66EF8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niniejszym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rozdziale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rozwiązania</w:t>
      </w:r>
      <w:r w:rsidR="008141C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moż</w:t>
      </w:r>
      <w:r w:rsidR="00604F9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uznać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technicznym,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ekonomicznym,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środowiskowym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instytucjonalnym.</w:t>
      </w:r>
      <w:r w:rsidR="00656606">
        <w:rPr>
          <w:szCs w:val="24"/>
        </w:rPr>
        <w:t xml:space="preserve"> </w:t>
      </w:r>
    </w:p>
    <w:p w14:paraId="129103C7" w14:textId="77777777" w:rsidR="005A2E96" w:rsidRPr="00EB7EAA" w:rsidRDefault="005A2E96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Wymaganym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jest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scharakteryzowanie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istniejących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zasobów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infrastruktury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kątem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funkcjonalności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ewentualnego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wykorzystania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dla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osiągnięcia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zakładanych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celów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(opis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punktu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wyjścia,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następnie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opis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proponowanych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zmian).</w:t>
      </w:r>
    </w:p>
    <w:p w14:paraId="604A9832" w14:textId="77777777" w:rsidR="00B66EF8" w:rsidRPr="00EB7EAA" w:rsidRDefault="00604F9D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lastRenderedPageBreak/>
        <w:t>Analiza</w:t>
      </w:r>
      <w:r w:rsidR="00656606">
        <w:rPr>
          <w:rFonts w:cs="Verdana"/>
          <w:szCs w:val="24"/>
          <w:lang w:eastAsia="pl-PL"/>
        </w:rPr>
        <w:t xml:space="preserve"> </w:t>
      </w:r>
      <w:r w:rsidR="00B66EF8" w:rsidRPr="00EB7EAA">
        <w:rPr>
          <w:rFonts w:cs="Verdana"/>
          <w:szCs w:val="24"/>
          <w:lang w:eastAsia="pl-PL"/>
        </w:rPr>
        <w:t>wykonalności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powinna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szczególności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wykazać,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że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zaproponowane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rozwiązanie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jest:</w:t>
      </w:r>
      <w:r w:rsidR="00656606">
        <w:rPr>
          <w:rFonts w:cs="Verdana"/>
          <w:szCs w:val="24"/>
          <w:lang w:eastAsia="pl-PL"/>
        </w:rPr>
        <w:t xml:space="preserve"> </w:t>
      </w:r>
    </w:p>
    <w:p w14:paraId="28BDAB21" w14:textId="77777777"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wykonalne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względem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technicznym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i/lub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technologicznym;</w:t>
      </w:r>
      <w:r w:rsidR="00656606">
        <w:rPr>
          <w:rFonts w:cs="Verdana"/>
          <w:szCs w:val="24"/>
          <w:lang w:eastAsia="pl-PL"/>
        </w:rPr>
        <w:t xml:space="preserve"> </w:t>
      </w:r>
    </w:p>
    <w:p w14:paraId="0F5AD939" w14:textId="77777777"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zgodne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najlepszą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praktyką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danej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dziedzinie;</w:t>
      </w:r>
      <w:r w:rsidR="00656606">
        <w:rPr>
          <w:rFonts w:cs="Verdana"/>
          <w:szCs w:val="24"/>
          <w:lang w:eastAsia="pl-PL"/>
        </w:rPr>
        <w:t xml:space="preserve"> </w:t>
      </w:r>
    </w:p>
    <w:p w14:paraId="2B4C1715" w14:textId="77777777" w:rsidR="00B66EF8" w:rsidRPr="00EB7EAA" w:rsidRDefault="00B66EF8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Wingdings"/>
          <w:szCs w:val="24"/>
          <w:lang w:eastAsia="pl-PL"/>
        </w:rPr>
        <w:t>z</w:t>
      </w:r>
      <w:r w:rsidR="00604F9D" w:rsidRPr="00EB7EAA">
        <w:rPr>
          <w:rFonts w:cs="Verdana"/>
          <w:szCs w:val="24"/>
          <w:lang w:eastAsia="pl-PL"/>
        </w:rPr>
        <w:t>godne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obowiązującymi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normami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prawnymi;</w:t>
      </w:r>
      <w:r w:rsidR="00656606">
        <w:rPr>
          <w:rFonts w:cs="Verdana"/>
          <w:szCs w:val="24"/>
          <w:lang w:eastAsia="pl-PL"/>
        </w:rPr>
        <w:t xml:space="preserve"> </w:t>
      </w:r>
    </w:p>
    <w:p w14:paraId="211E3D06" w14:textId="77777777"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optymalne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względem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zaspokojenia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popytu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strony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użytkowników;</w:t>
      </w:r>
      <w:r w:rsidR="00656606">
        <w:rPr>
          <w:rFonts w:cs="Verdana"/>
          <w:szCs w:val="24"/>
          <w:lang w:eastAsia="pl-PL"/>
        </w:rPr>
        <w:t xml:space="preserve"> </w:t>
      </w:r>
    </w:p>
    <w:p w14:paraId="2017D218" w14:textId="77777777"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przedstawia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optymalny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stosunek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jakości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do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ceny;</w:t>
      </w:r>
      <w:r w:rsidR="00656606">
        <w:rPr>
          <w:rFonts w:cs="Verdana"/>
          <w:szCs w:val="24"/>
          <w:lang w:eastAsia="pl-PL"/>
        </w:rPr>
        <w:t xml:space="preserve"> </w:t>
      </w:r>
    </w:p>
    <w:p w14:paraId="4CE39E10" w14:textId="77777777" w:rsidR="00604F9D" w:rsidRPr="00EB7EAA" w:rsidRDefault="00D75B2C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zgodn</w:t>
      </w:r>
      <w:r w:rsidR="00303639" w:rsidRPr="00EB7EAA">
        <w:rPr>
          <w:rFonts w:cs="Verdana"/>
          <w:szCs w:val="24"/>
          <w:lang w:eastAsia="pl-PL"/>
        </w:rPr>
        <w:t>e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wymogami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ochrony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środowiska.</w:t>
      </w:r>
    </w:p>
    <w:p w14:paraId="5333A041" w14:textId="77777777" w:rsidR="00D75B2C" w:rsidRPr="00EB7EAA" w:rsidRDefault="005A2E96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Wnioski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płynące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analizy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wykonalności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powinny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wyraźnie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wskazywać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potwierdzać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zasadność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wyboru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planowanego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do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wdrożenia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rozwiązania.</w:t>
      </w:r>
    </w:p>
    <w:p w14:paraId="7E97D2A6" w14:textId="77777777" w:rsidR="006A54DE" w:rsidRPr="00EB7EAA" w:rsidRDefault="006A2C79" w:rsidP="00EB7EAA">
      <w:pPr>
        <w:pStyle w:val="Nagwek2"/>
        <w:jc w:val="both"/>
        <w:rPr>
          <w:i/>
        </w:rPr>
      </w:pPr>
      <w:bookmarkStart w:id="22" w:name="_Toc21079589"/>
      <w:r w:rsidRPr="00EB7EAA">
        <w:t>Analiza</w:t>
      </w:r>
      <w:r w:rsidR="00656606">
        <w:t xml:space="preserve"> </w:t>
      </w:r>
      <w:r w:rsidRPr="00EB7EAA">
        <w:t>popytu</w:t>
      </w:r>
      <w:bookmarkEnd w:id="22"/>
    </w:p>
    <w:p w14:paraId="21791FDF" w14:textId="77777777" w:rsidR="006A2C79" w:rsidRPr="00EB7EAA" w:rsidRDefault="006A2C79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ma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zadanie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zidentyfikować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ilościowo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</w:t>
      </w:r>
      <w:r w:rsidR="009E6A1B" w:rsidRPr="00EB7EAA">
        <w:rPr>
          <w:rFonts w:ascii="Calibri" w:hAnsi="Calibri"/>
        </w:rPr>
        <w:t>lić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inwestycji.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zarówno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dane),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uwzględniające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m.in.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041AC">
        <w:rPr>
          <w:rFonts w:ascii="Calibri" w:hAnsi="Calibri"/>
        </w:rPr>
        <w:t> </w:t>
      </w:r>
      <w:r w:rsidRPr="00EB7EAA">
        <w:rPr>
          <w:rFonts w:ascii="Calibri" w:hAnsi="Calibri"/>
        </w:rPr>
        <w:t>społeczne).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prognozowanego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041AC">
        <w:rPr>
          <w:rFonts w:ascii="Calibri" w:hAnsi="Calibri"/>
        </w:rPr>
        <w:t> </w:t>
      </w:r>
      <w:r w:rsidRPr="00EB7EAA">
        <w:rPr>
          <w:rFonts w:ascii="Calibri" w:hAnsi="Calibri"/>
        </w:rPr>
        <w:t>inwestycją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Ponadto,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odwoływać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kwestii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przyszłego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zasoby,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przewid</w:t>
      </w:r>
      <w:r w:rsidR="00E51C38" w:rsidRPr="00EB7EAA">
        <w:rPr>
          <w:rFonts w:ascii="Calibri" w:hAnsi="Calibri"/>
        </w:rPr>
        <w:t>ywanego</w:t>
      </w:r>
      <w:r w:rsidR="00656606">
        <w:rPr>
          <w:rFonts w:ascii="Calibri" w:hAnsi="Calibri"/>
        </w:rPr>
        <w:t xml:space="preserve"> </w:t>
      </w:r>
      <w:r w:rsidR="00E51C38" w:rsidRPr="00EB7EAA">
        <w:rPr>
          <w:rFonts w:ascii="Calibri" w:hAnsi="Calibri"/>
        </w:rPr>
        <w:t>rozwoju</w:t>
      </w:r>
      <w:r w:rsidR="00656606">
        <w:rPr>
          <w:rFonts w:ascii="Calibri" w:hAnsi="Calibri"/>
        </w:rPr>
        <w:t xml:space="preserve"> </w:t>
      </w:r>
      <w:r w:rsidR="00E51C38" w:rsidRPr="00EB7EAA">
        <w:rPr>
          <w:rFonts w:ascii="Calibri" w:hAnsi="Calibri"/>
        </w:rPr>
        <w:t>infrastruktury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sieciowego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występuje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wystąpić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041AC">
        <w:rPr>
          <w:rFonts w:ascii="Calibri" w:hAnsi="Calibri"/>
        </w:rPr>
        <w:t> </w:t>
      </w:r>
      <w:r w:rsidRPr="00EB7EAA">
        <w:rPr>
          <w:rFonts w:ascii="Calibri" w:hAnsi="Calibri"/>
        </w:rPr>
        <w:t>wyniku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inwestycji).</w:t>
      </w:r>
      <w:r w:rsidR="00656606">
        <w:rPr>
          <w:rFonts w:ascii="Calibri" w:hAnsi="Calibri"/>
        </w:rPr>
        <w:t xml:space="preserve"> </w:t>
      </w:r>
    </w:p>
    <w:p w14:paraId="3EC86157" w14:textId="77777777" w:rsidR="00B3301F" w:rsidRPr="00EB7EAA" w:rsidRDefault="00B3301F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prawidłowego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założenia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metodykę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popytu.</w:t>
      </w:r>
    </w:p>
    <w:p w14:paraId="284B0A58" w14:textId="77777777" w:rsidR="00ED048A" w:rsidRPr="00EB7EAA" w:rsidRDefault="00ED048A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dynamiczny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tzn.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rozwój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277C76">
        <w:rPr>
          <w:rFonts w:ascii="Calibri" w:hAnsi="Calibri"/>
        </w:rPr>
        <w:t> </w:t>
      </w:r>
      <w:r w:rsidRPr="00EB7EAA">
        <w:rPr>
          <w:rFonts w:ascii="Calibri" w:hAnsi="Calibri"/>
        </w:rPr>
        <w:t>określonym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horyzoncie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wskazaniem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przewidywanej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stopy</w:t>
      </w:r>
      <w:r w:rsidR="00656606">
        <w:rPr>
          <w:rFonts w:ascii="Calibri" w:hAnsi="Calibri"/>
        </w:rPr>
        <w:t xml:space="preserve"> </w:t>
      </w:r>
      <w:r w:rsidR="00277C76">
        <w:rPr>
          <w:rFonts w:ascii="Calibri" w:hAnsi="Calibri"/>
        </w:rPr>
        <w:t>procentowej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ukończeniu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wzrostu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dalszej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perspektywie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czasowej.</w:t>
      </w:r>
    </w:p>
    <w:p w14:paraId="61D88D3C" w14:textId="77777777" w:rsidR="006A2C79" w:rsidRPr="00EB7EAA" w:rsidRDefault="00E51C3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Zaleca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arkuszu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kalkulacyjnym</w:t>
      </w:r>
      <w:r w:rsidR="00656606">
        <w:rPr>
          <w:rFonts w:ascii="Calibri" w:hAnsi="Calibri"/>
        </w:rPr>
        <w:t xml:space="preserve"> </w:t>
      </w:r>
      <w:r w:rsidR="00D75B2C" w:rsidRPr="00EB7EAA">
        <w:rPr>
          <w:rFonts w:ascii="Calibri" w:hAnsi="Calibri"/>
        </w:rPr>
        <w:t>Excel,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następnie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jej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ED048A" w:rsidRPr="00EB7EAA">
        <w:rPr>
          <w:rFonts w:ascii="Calibri" w:hAnsi="Calibri"/>
        </w:rPr>
        <w:t>formie</w:t>
      </w:r>
      <w:r w:rsidR="00656606">
        <w:rPr>
          <w:rFonts w:ascii="Calibri" w:hAnsi="Calibri"/>
        </w:rPr>
        <w:t xml:space="preserve"> </w:t>
      </w:r>
      <w:r w:rsidR="00ED048A" w:rsidRPr="00EB7EAA">
        <w:rPr>
          <w:rFonts w:ascii="Calibri" w:hAnsi="Calibri"/>
        </w:rPr>
        <w:t>załącznika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niniejszego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SW.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czym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załącznik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ten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zawierać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jawne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(nie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ukryte)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działające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formuły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przedstawiające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przeprowadzone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wyniki.</w:t>
      </w:r>
      <w:r w:rsidR="00656606">
        <w:rPr>
          <w:rFonts w:ascii="Calibri" w:hAnsi="Calibri"/>
        </w:rPr>
        <w:t xml:space="preserve"> </w:t>
      </w:r>
    </w:p>
    <w:p w14:paraId="4BAF2AA3" w14:textId="77777777" w:rsidR="006A54DE" w:rsidRPr="00EB7EAA" w:rsidRDefault="00D75B2C" w:rsidP="00EB7EAA">
      <w:pPr>
        <w:pStyle w:val="Nagwek2"/>
        <w:jc w:val="both"/>
        <w:rPr>
          <w:i/>
        </w:rPr>
      </w:pPr>
      <w:bookmarkStart w:id="23" w:name="_Toc21079590"/>
      <w:r w:rsidRPr="00EB7EAA">
        <w:t>Analiza</w:t>
      </w:r>
      <w:r w:rsidR="00656606">
        <w:t xml:space="preserve"> </w:t>
      </w:r>
      <w:r w:rsidRPr="00EB7EAA">
        <w:t>opcji</w:t>
      </w:r>
      <w:r w:rsidR="00656606">
        <w:t xml:space="preserve"> </w:t>
      </w:r>
      <w:r w:rsidR="00FF3AB1" w:rsidRPr="00EB7EAA">
        <w:t>(rozwiązań</w:t>
      </w:r>
      <w:r w:rsidR="00656606">
        <w:t xml:space="preserve"> </w:t>
      </w:r>
      <w:r w:rsidR="00FF3AB1" w:rsidRPr="00EB7EAA">
        <w:t>alternatywnych)</w:t>
      </w:r>
      <w:bookmarkEnd w:id="23"/>
    </w:p>
    <w:p w14:paraId="1A038203" w14:textId="77777777" w:rsidR="00733BC1" w:rsidRPr="00EB7EAA" w:rsidRDefault="00F9475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Przystąpienie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jednoczesną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decyzję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rezygnacji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wykonalnych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rozwiązań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alternatywnych.</w:t>
      </w:r>
      <w:r w:rsidR="00656606">
        <w:rPr>
          <w:sz w:val="24"/>
          <w:szCs w:val="24"/>
        </w:rPr>
        <w:t xml:space="preserve"> </w:t>
      </w:r>
      <w:r w:rsidR="00D517F1" w:rsidRPr="00EB7EAA">
        <w:rPr>
          <w:sz w:val="24"/>
          <w:szCs w:val="24"/>
        </w:rPr>
        <w:t>Dlatego</w:t>
      </w:r>
      <w:r w:rsidR="00656606">
        <w:rPr>
          <w:sz w:val="24"/>
          <w:szCs w:val="24"/>
        </w:rPr>
        <w:t xml:space="preserve"> </w:t>
      </w:r>
      <w:r w:rsidR="00D517F1" w:rsidRPr="00EB7EAA">
        <w:rPr>
          <w:sz w:val="24"/>
          <w:szCs w:val="24"/>
        </w:rPr>
        <w:t>a</w:t>
      </w:r>
      <w:r w:rsidR="002D3BC2" w:rsidRPr="00EB7EAA">
        <w:rPr>
          <w:sz w:val="24"/>
          <w:szCs w:val="24"/>
        </w:rPr>
        <w:t>nalizę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opcji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się,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ocenić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porównać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alternatywne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wybrać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ten,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zapewni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najlepsze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(najkorzystniejsze)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rozwiązanie.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porównać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lastRenderedPageBreak/>
        <w:t>z</w:t>
      </w:r>
      <w:r w:rsidR="00277C76">
        <w:rPr>
          <w:sz w:val="24"/>
          <w:szCs w:val="24"/>
        </w:rPr>
        <w:t> </w:t>
      </w:r>
      <w:r w:rsidR="002D3BC2" w:rsidRPr="00EB7EAA">
        <w:rPr>
          <w:sz w:val="24"/>
          <w:szCs w:val="24"/>
        </w:rPr>
        <w:t>różnymi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kryteriami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m.in.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kryteria</w:t>
      </w:r>
      <w:r w:rsidR="00EB4D7A" w:rsidRPr="00EB7EAA">
        <w:rPr>
          <w:sz w:val="24"/>
          <w:szCs w:val="24"/>
        </w:rPr>
        <w:t>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technicznymi,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instytucjonalnymi</w:t>
      </w:r>
      <w:r w:rsidR="002D3BC2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ekonomicznymi,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środowiskowymi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społecznymi</w:t>
      </w:r>
      <w:r w:rsidR="002D3BC2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14:paraId="139F7BEB" w14:textId="77777777" w:rsidR="005F7666" w:rsidRPr="00EB7EAA" w:rsidRDefault="005F766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Kluczowe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aspekty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wybierania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wariantu:</w:t>
      </w:r>
      <w:r w:rsidR="00656606">
        <w:rPr>
          <w:sz w:val="24"/>
          <w:szCs w:val="24"/>
        </w:rPr>
        <w:t xml:space="preserve"> </w:t>
      </w:r>
    </w:p>
    <w:p w14:paraId="68619D24" w14:textId="77777777" w:rsidR="005F7666" w:rsidRPr="00EB7EAA" w:rsidRDefault="005F7666" w:rsidP="00265A33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właściwego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poszukiwanego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dowody,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wybrany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spośród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rozważanych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kryterium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technicznego;</w:t>
      </w:r>
      <w:r w:rsidR="00656606">
        <w:rPr>
          <w:sz w:val="24"/>
          <w:szCs w:val="24"/>
        </w:rPr>
        <w:t xml:space="preserve"> </w:t>
      </w:r>
    </w:p>
    <w:p w14:paraId="03D665D1" w14:textId="77777777" w:rsidR="005F7666" w:rsidRPr="00EB7EAA" w:rsidRDefault="005F7666" w:rsidP="00265A33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unikatowy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kosztownym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przeliczeniu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produkcji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wytwarzaną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długoterminowych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utrzymania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2A2F93">
        <w:rPr>
          <w:sz w:val="24"/>
          <w:szCs w:val="24"/>
        </w:rPr>
        <w:t> </w:t>
      </w:r>
      <w:r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wariantem;</w:t>
      </w:r>
      <w:r w:rsidR="00656606">
        <w:rPr>
          <w:sz w:val="24"/>
          <w:szCs w:val="24"/>
        </w:rPr>
        <w:t xml:space="preserve"> </w:t>
      </w:r>
    </w:p>
    <w:p w14:paraId="530CC071" w14:textId="77777777" w:rsidR="006A54DE" w:rsidRPr="00EB7EAA" w:rsidRDefault="005F7666" w:rsidP="00265A33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wpisują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uproszczonej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AKK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wybrania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korzystny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społeczno</w:t>
      </w:r>
      <w:r w:rsidR="004B725F">
        <w:rPr>
          <w:sz w:val="24"/>
          <w:szCs w:val="24"/>
        </w:rPr>
        <w:t>-</w:t>
      </w:r>
      <w:r w:rsidRPr="00EB7EAA">
        <w:rPr>
          <w:sz w:val="24"/>
          <w:szCs w:val="24"/>
        </w:rPr>
        <w:t>ekonomicznego.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parametrach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zaktualizowanej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netto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(ENPV).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Uproszczoną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AKK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3F23C7">
        <w:rPr>
          <w:sz w:val="24"/>
          <w:szCs w:val="24"/>
        </w:rPr>
        <w:t> 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przybliżone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szacunki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kluczowych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2E51FF">
        <w:rPr>
          <w:sz w:val="24"/>
          <w:szCs w:val="24"/>
        </w:rPr>
        <w:t> </w:t>
      </w:r>
      <w:r w:rsidRPr="00EB7EAA">
        <w:rPr>
          <w:sz w:val="24"/>
          <w:szCs w:val="24"/>
        </w:rPr>
        <w:t>gospodarczych,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F93C17">
        <w:rPr>
          <w:sz w:val="24"/>
          <w:szCs w:val="24"/>
        </w:rPr>
        <w:t> </w:t>
      </w:r>
      <w:r w:rsidRPr="00EB7EAA">
        <w:rPr>
          <w:sz w:val="24"/>
          <w:szCs w:val="24"/>
        </w:rPr>
        <w:t>stosownych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przypadkach.</w:t>
      </w:r>
      <w:r w:rsidR="00656606">
        <w:rPr>
          <w:sz w:val="24"/>
          <w:szCs w:val="24"/>
        </w:rPr>
        <w:t xml:space="preserve"> </w:t>
      </w:r>
    </w:p>
    <w:p w14:paraId="2B3F8DC3" w14:textId="77777777" w:rsidR="006A54DE" w:rsidRPr="00EB7EAA" w:rsidRDefault="00733BC1" w:rsidP="00EB7EAA">
      <w:pPr>
        <w:pStyle w:val="Bezodstpw"/>
        <w:spacing w:line="276" w:lineRule="auto"/>
        <w:jc w:val="both"/>
        <w:rPr>
          <w:b/>
          <w:sz w:val="24"/>
          <w:szCs w:val="24"/>
          <w:u w:val="single"/>
        </w:rPr>
      </w:pPr>
      <w:r w:rsidRPr="00EB7EAA">
        <w:rPr>
          <w:b/>
          <w:sz w:val="24"/>
          <w:szCs w:val="24"/>
          <w:u w:val="single"/>
        </w:rPr>
        <w:t>A</w:t>
      </w:r>
      <w:r w:rsidR="005F7666" w:rsidRPr="00EB7EAA">
        <w:rPr>
          <w:b/>
          <w:sz w:val="24"/>
          <w:szCs w:val="24"/>
          <w:u w:val="single"/>
        </w:rPr>
        <w:t>nalizę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opcji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należy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przeprowadzi</w:t>
      </w:r>
      <w:r w:rsidRPr="00EB7EAA">
        <w:rPr>
          <w:b/>
          <w:sz w:val="24"/>
          <w:szCs w:val="24"/>
          <w:u w:val="single"/>
        </w:rPr>
        <w:t>ć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dwóch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etapach:</w:t>
      </w:r>
      <w:r w:rsidR="00656606">
        <w:rPr>
          <w:b/>
          <w:sz w:val="24"/>
          <w:szCs w:val="24"/>
          <w:u w:val="single"/>
        </w:rPr>
        <w:t xml:space="preserve"> </w:t>
      </w:r>
    </w:p>
    <w:p w14:paraId="402E3C18" w14:textId="77777777" w:rsidR="00EB4D7A" w:rsidRPr="00EB7EAA" w:rsidRDefault="00EB4D7A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szCs w:val="24"/>
        </w:rPr>
        <w:t>1.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Etap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pierwszy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podstawowych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wariantów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strategicznych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lokalizacji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odpowiada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pytanie,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bardziej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korzystna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modernizacja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już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funkcjonującej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też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budowa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nowej).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ten,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zasady,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formę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wielokryterialnej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opiera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kryteriach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jakościowych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14:paraId="48C43EC8" w14:textId="77777777" w:rsidR="00B11B07" w:rsidRPr="00EB7EAA" w:rsidRDefault="002D3BC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FC5E33" w:rsidRPr="00EB7EAA">
        <w:rPr>
          <w:szCs w:val="24"/>
        </w:rPr>
        <w:t>punkcie</w:t>
      </w:r>
      <w:r w:rsidR="00656606">
        <w:rPr>
          <w:szCs w:val="24"/>
        </w:rPr>
        <w:t xml:space="preserve"> </w:t>
      </w:r>
      <w:r w:rsidR="00EB4D7A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kluczowe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wiedzy</w:t>
      </w:r>
      <w:r w:rsidR="00656606">
        <w:rPr>
          <w:szCs w:val="24"/>
        </w:rPr>
        <w:t xml:space="preserve"> </w:t>
      </w:r>
      <w:r w:rsidR="00F74437" w:rsidRPr="00EB7EAA">
        <w:rPr>
          <w:szCs w:val="24"/>
        </w:rPr>
        <w:t>wnioskodawcy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wszelkich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kolejności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wszystkie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uznać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instytucjonalnym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środowiskowym.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Trzeba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wskazać,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czym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kierowano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sposób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</w:t>
      </w:r>
      <w:r w:rsidR="00B11B07" w:rsidRPr="00EB7EAA">
        <w:rPr>
          <w:szCs w:val="24"/>
        </w:rPr>
        <w:t>rianty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strategiczne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</w:p>
    <w:p w14:paraId="2BA9653C" w14:textId="77777777" w:rsidR="00FC5E33" w:rsidRPr="00EB7EAA" w:rsidRDefault="00D81DC1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B11B07" w:rsidRPr="00EB7EAA">
        <w:rPr>
          <w:szCs w:val="24"/>
        </w:rPr>
        <w:t>ależy</w:t>
      </w:r>
      <w:r w:rsidR="00656606">
        <w:rPr>
          <w:szCs w:val="24"/>
        </w:rPr>
        <w:t xml:space="preserve"> </w:t>
      </w:r>
      <w:r w:rsidR="00B11B07" w:rsidRPr="00EB7EAA">
        <w:rPr>
          <w:b/>
          <w:szCs w:val="24"/>
        </w:rPr>
        <w:t>wybrać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co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najmniej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dwa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warianty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strategiczne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realizujące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cele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projektu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="00FC5E33"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bierze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pod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uwagę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wariantu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bezinwestycyjnego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(zaniechanie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inwestycji).</w:t>
      </w:r>
      <w:r w:rsidR="00656606">
        <w:rPr>
          <w:b/>
          <w:szCs w:val="24"/>
        </w:rPr>
        <w:t xml:space="preserve"> </w:t>
      </w:r>
    </w:p>
    <w:p w14:paraId="1C9D7BD3" w14:textId="77777777" w:rsidR="00D81DC1" w:rsidRPr="00EB7EAA" w:rsidRDefault="00B11B0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Wybierając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zwrócić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przyczyniały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różnym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zakresie,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skali,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różny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sposób.</w:t>
      </w:r>
      <w:r w:rsidR="00656606">
        <w:rPr>
          <w:szCs w:val="24"/>
        </w:rPr>
        <w:t xml:space="preserve"> </w:t>
      </w:r>
    </w:p>
    <w:p w14:paraId="60A41D00" w14:textId="77777777" w:rsidR="00B11B07" w:rsidRPr="00EB7EAA" w:rsidRDefault="00B11B0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Generalnie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rzecz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biorąc,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dotyczyć:</w:t>
      </w:r>
    </w:p>
    <w:p w14:paraId="12F9708E" w14:textId="77777777" w:rsidR="00B11B07" w:rsidRPr="00EB7EAA" w:rsidRDefault="00B11B07" w:rsidP="00265A33">
      <w:pPr>
        <w:pStyle w:val="Akapitzlist"/>
        <w:numPr>
          <w:ilvl w:val="0"/>
          <w:numId w:val="25"/>
        </w:numPr>
      </w:pPr>
      <w:r w:rsidRPr="00EB7EAA">
        <w:t>lokalizacji</w:t>
      </w:r>
      <w:r w:rsidR="00656606">
        <w:t xml:space="preserve"> </w:t>
      </w:r>
      <w:r w:rsidRPr="00EB7EAA">
        <w:t>(np.</w:t>
      </w:r>
      <w:r w:rsidR="00656606">
        <w:t xml:space="preserve"> </w:t>
      </w:r>
      <w:r w:rsidR="00D81DC1" w:rsidRPr="00EB7EAA">
        <w:t>zlokalizowanie</w:t>
      </w:r>
      <w:r w:rsidR="00656606">
        <w:t xml:space="preserve"> </w:t>
      </w:r>
      <w:r w:rsidRPr="00EB7EAA">
        <w:t>budowanego</w:t>
      </w:r>
      <w:r w:rsidR="00656606">
        <w:t xml:space="preserve"> </w:t>
      </w:r>
      <w:r w:rsidRPr="00EB7EAA">
        <w:t>obiektu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działkach</w:t>
      </w:r>
      <w:r w:rsidR="00656606">
        <w:t xml:space="preserve"> </w:t>
      </w:r>
      <w:r w:rsidRPr="00EB7EAA">
        <w:t>należących</w:t>
      </w:r>
      <w:r w:rsidR="00656606">
        <w:t xml:space="preserve"> </w:t>
      </w:r>
      <w:r w:rsidRPr="00EB7EAA">
        <w:t>do</w:t>
      </w:r>
      <w:r w:rsidR="00656606">
        <w:t xml:space="preserve"> </w:t>
      </w:r>
      <w:r w:rsidR="0027223D" w:rsidRPr="00EB7EAA">
        <w:t>w</w:t>
      </w:r>
      <w:r w:rsidR="00D81DC1" w:rsidRPr="00EB7EAA">
        <w:t>nioskodawcy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Pr="00EB7EAA">
        <w:t>ulokowanie</w:t>
      </w:r>
      <w:r w:rsidR="00656606">
        <w:t xml:space="preserve"> </w:t>
      </w:r>
      <w:r w:rsidRPr="00EB7EAA">
        <w:t>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innej</w:t>
      </w:r>
      <w:r w:rsidR="00656606">
        <w:t xml:space="preserve"> </w:t>
      </w:r>
      <w:r w:rsidRPr="00EB7EAA">
        <w:t>lepszej</w:t>
      </w:r>
      <w:r w:rsidR="00656606">
        <w:t xml:space="preserve"> </w:t>
      </w:r>
      <w:r w:rsidRPr="00EB7EAA">
        <w:t>lokalizacji,</w:t>
      </w:r>
      <w:r w:rsidR="00656606">
        <w:t xml:space="preserve"> </w:t>
      </w:r>
      <w:r w:rsidRPr="00EB7EAA">
        <w:t>którą</w:t>
      </w:r>
      <w:r w:rsidR="00656606">
        <w:t xml:space="preserve"> </w:t>
      </w:r>
      <w:r w:rsidRPr="00EB7EAA">
        <w:t>trzeba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zakupić,</w:t>
      </w:r>
      <w:r w:rsidR="00656606">
        <w:t xml:space="preserve"> </w:t>
      </w:r>
      <w:r w:rsidRPr="00EB7EAA">
        <w:t>itp.),</w:t>
      </w:r>
      <w:r w:rsidR="00656606">
        <w:t xml:space="preserve"> </w:t>
      </w:r>
    </w:p>
    <w:p w14:paraId="065FAC1D" w14:textId="77777777" w:rsidR="00B11B07" w:rsidRPr="00EB7EAA" w:rsidRDefault="00B11B07" w:rsidP="00265A33">
      <w:pPr>
        <w:pStyle w:val="Akapitzlist"/>
        <w:numPr>
          <w:ilvl w:val="0"/>
          <w:numId w:val="25"/>
        </w:numPr>
      </w:pPr>
      <w:r w:rsidRPr="00EB7EAA">
        <w:t>zakresu</w:t>
      </w:r>
      <w:r w:rsidR="00656606">
        <w:t xml:space="preserve"> </w:t>
      </w:r>
      <w:r w:rsidRPr="00EB7EAA">
        <w:t>inwestycyjnego</w:t>
      </w:r>
      <w:r w:rsidR="00656606">
        <w:t xml:space="preserve"> </w:t>
      </w:r>
      <w:r w:rsidRPr="00EB7EAA">
        <w:t>pro</w:t>
      </w:r>
      <w:r w:rsidR="0027223D" w:rsidRPr="00EB7EAA">
        <w:t>jektu</w:t>
      </w:r>
      <w:r w:rsidR="00656606">
        <w:t xml:space="preserve"> </w:t>
      </w:r>
      <w:r w:rsidR="0027223D" w:rsidRPr="00EB7EAA">
        <w:t>(budowa</w:t>
      </w:r>
      <w:r w:rsidR="00656606">
        <w:t xml:space="preserve"> </w:t>
      </w:r>
      <w:r w:rsidR="0027223D" w:rsidRPr="00EB7EAA">
        <w:t>nowego</w:t>
      </w:r>
      <w:r w:rsidR="00656606">
        <w:t xml:space="preserve"> </w:t>
      </w:r>
      <w:r w:rsidR="0027223D" w:rsidRPr="00EB7EAA">
        <w:t>obiektu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="0027223D" w:rsidRPr="00EB7EAA">
        <w:t>przybudowa/modernizacja</w:t>
      </w:r>
      <w:r w:rsidR="00656606">
        <w:t xml:space="preserve"> </w:t>
      </w:r>
      <w:r w:rsidRPr="00EB7EAA">
        <w:t>istniejącego</w:t>
      </w:r>
      <w:r w:rsidR="00656606">
        <w:t xml:space="preserve"> </w:t>
      </w:r>
      <w:r w:rsidRPr="00EB7EAA">
        <w:t>obiektu</w:t>
      </w:r>
      <w:r w:rsidR="00656606">
        <w:t xml:space="preserve"> </w:t>
      </w:r>
      <w:r w:rsidR="0027223D" w:rsidRPr="00EB7EAA">
        <w:t>budowlanego,</w:t>
      </w:r>
      <w:r w:rsidR="00656606">
        <w:t xml:space="preserve"> </w:t>
      </w:r>
      <w:r w:rsidRPr="00EB7EAA">
        <w:t>wydzielenie</w:t>
      </w:r>
      <w:r w:rsidR="00656606">
        <w:t xml:space="preserve"> </w:t>
      </w:r>
      <w:r w:rsidRPr="00EB7EAA">
        <w:t>pasu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rowerów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istniejących</w:t>
      </w:r>
      <w:r w:rsidR="00656606">
        <w:t xml:space="preserve"> </w:t>
      </w:r>
      <w:r w:rsidRPr="00EB7EAA">
        <w:t>chodnikach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Pr="00EB7EAA">
        <w:t>wybudowanie</w:t>
      </w:r>
      <w:r w:rsidR="00656606">
        <w:t xml:space="preserve"> </w:t>
      </w:r>
      <w:r w:rsidRPr="00EB7EAA">
        <w:t>nowej</w:t>
      </w:r>
      <w:r w:rsidR="00656606">
        <w:t xml:space="preserve"> </w:t>
      </w:r>
      <w:r w:rsidR="0027223D" w:rsidRPr="00EB7EAA">
        <w:t>drogi</w:t>
      </w:r>
      <w:r w:rsidR="00656606">
        <w:t xml:space="preserve"> </w:t>
      </w:r>
      <w:r w:rsidRPr="00EB7EAA">
        <w:t>rowerowej</w:t>
      </w:r>
      <w:r w:rsidR="0027223D" w:rsidRPr="00EB7EAA">
        <w:t>,</w:t>
      </w:r>
      <w:r w:rsidR="00656606">
        <w:t xml:space="preserve"> </w:t>
      </w:r>
      <w:r w:rsidR="00927C90" w:rsidRPr="00EB7EAA">
        <w:t>itp.),</w:t>
      </w:r>
    </w:p>
    <w:p w14:paraId="1F5A94AD" w14:textId="77777777" w:rsidR="006A54DE" w:rsidRPr="00EB7EAA" w:rsidRDefault="00B11B07" w:rsidP="00265A33">
      <w:pPr>
        <w:pStyle w:val="Akapitzlist"/>
        <w:numPr>
          <w:ilvl w:val="0"/>
          <w:numId w:val="25"/>
        </w:numPr>
      </w:pPr>
      <w:r w:rsidRPr="00EB7EAA">
        <w:t>skali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zasięgu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(w</w:t>
      </w:r>
      <w:r w:rsidR="00656606">
        <w:t xml:space="preserve"> </w:t>
      </w:r>
      <w:r w:rsidRPr="00EB7EAA">
        <w:t>zależności</w:t>
      </w:r>
      <w:r w:rsidR="00656606">
        <w:t xml:space="preserve"> </w:t>
      </w:r>
      <w:r w:rsidRPr="00EB7EAA">
        <w:t>od</w:t>
      </w:r>
      <w:r w:rsidR="00656606">
        <w:t xml:space="preserve"> </w:t>
      </w:r>
      <w:r w:rsidRPr="00EB7EAA">
        <w:t>zgłaszanych</w:t>
      </w:r>
      <w:r w:rsidR="00656606">
        <w:t xml:space="preserve"> </w:t>
      </w:r>
      <w:r w:rsidRPr="00EB7EAA">
        <w:t>potrzeb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prognoz</w:t>
      </w:r>
      <w:r w:rsidR="00656606">
        <w:t xml:space="preserve"> </w:t>
      </w:r>
      <w:r w:rsidRPr="00EB7EAA">
        <w:t>dotyczących</w:t>
      </w:r>
      <w:r w:rsidR="00656606">
        <w:t xml:space="preserve"> </w:t>
      </w:r>
      <w:r w:rsidRPr="00EB7EAA">
        <w:t>przyszłego</w:t>
      </w:r>
      <w:r w:rsidR="00656606">
        <w:t xml:space="preserve"> </w:t>
      </w:r>
      <w:r w:rsidRPr="00EB7EAA">
        <w:t>popytu</w:t>
      </w:r>
      <w:r w:rsidR="00656606">
        <w:t xml:space="preserve"> </w:t>
      </w:r>
      <w:r w:rsidRPr="00EB7EAA">
        <w:t>np.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usługi</w:t>
      </w:r>
      <w:r w:rsidR="00656606">
        <w:t xml:space="preserve"> </w:t>
      </w:r>
      <w:r w:rsidRPr="00EB7EAA">
        <w:t>turystyczne,</w:t>
      </w:r>
      <w:r w:rsidR="00656606">
        <w:t xml:space="preserve"> </w:t>
      </w:r>
      <w:r w:rsidRPr="00EB7EAA">
        <w:t>przej</w:t>
      </w:r>
      <w:r w:rsidR="0027223D" w:rsidRPr="00EB7EAA">
        <w:t>azdy</w:t>
      </w:r>
      <w:r w:rsidR="00656606">
        <w:t xml:space="preserve"> </w:t>
      </w:r>
      <w:r w:rsidR="0027223D" w:rsidRPr="00EB7EAA">
        <w:t>komunikacją</w:t>
      </w:r>
      <w:r w:rsidR="00656606">
        <w:t xml:space="preserve"> </w:t>
      </w:r>
      <w:r w:rsidR="0027223D" w:rsidRPr="00EB7EAA">
        <w:t>publiczną,</w:t>
      </w:r>
      <w:r w:rsidR="00656606">
        <w:t xml:space="preserve"> </w:t>
      </w:r>
      <w:r w:rsidR="0027223D" w:rsidRPr="00EB7EAA">
        <w:t>miejsca</w:t>
      </w:r>
      <w:r w:rsidR="00656606">
        <w:t xml:space="preserve"> </w:t>
      </w:r>
      <w:r w:rsidR="0027223D" w:rsidRPr="00EB7EAA">
        <w:t>w</w:t>
      </w:r>
      <w:r w:rsidR="00656606">
        <w:t xml:space="preserve"> </w:t>
      </w:r>
      <w:r w:rsidR="0027223D" w:rsidRPr="00EB7EAA">
        <w:t>szkole</w:t>
      </w:r>
      <w:r w:rsidRPr="00EB7EAA">
        <w:t>,</w:t>
      </w:r>
      <w:r w:rsidR="00656606">
        <w:t xml:space="preserve"> </w:t>
      </w:r>
      <w:r w:rsidRPr="00EB7EAA">
        <w:t>sieć</w:t>
      </w:r>
      <w:r w:rsidR="00656606">
        <w:t xml:space="preserve"> </w:t>
      </w:r>
      <w:r w:rsidRPr="00EB7EAA">
        <w:t>ścieżek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gminie,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może</w:t>
      </w:r>
      <w:r w:rsidR="00656606">
        <w:t xml:space="preserve"> </w:t>
      </w:r>
      <w:r w:rsidRPr="00EB7EAA">
        <w:t>mieć</w:t>
      </w:r>
      <w:r w:rsidR="00656606">
        <w:t xml:space="preserve"> </w:t>
      </w:r>
      <w:r w:rsidRPr="00EB7EAA">
        <w:t>wpływ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wielkość</w:t>
      </w:r>
      <w:r w:rsidR="00656606">
        <w:t xml:space="preserve"> </w:t>
      </w:r>
      <w:r w:rsidRPr="00EB7EAA">
        <w:t>inwestycji,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musi</w:t>
      </w:r>
      <w:r w:rsidR="00656606">
        <w:t xml:space="preserve"> </w:t>
      </w:r>
      <w:r w:rsidRPr="00EB7EAA">
        <w:t>obsłużyć</w:t>
      </w:r>
      <w:r w:rsidR="00656606">
        <w:t xml:space="preserve"> </w:t>
      </w:r>
      <w:r w:rsidR="00927C90" w:rsidRPr="00EB7EAA">
        <w:t>zwiększoną</w:t>
      </w:r>
      <w:r w:rsidR="00656606">
        <w:t xml:space="preserve"> </w:t>
      </w:r>
      <w:r w:rsidR="00927C90" w:rsidRPr="00EB7EAA">
        <w:t>liczbę</w:t>
      </w:r>
      <w:r w:rsidR="00656606">
        <w:t xml:space="preserve"> </w:t>
      </w:r>
      <w:r w:rsidR="00927C90" w:rsidRPr="00EB7EAA">
        <w:t>użytkowników).</w:t>
      </w:r>
    </w:p>
    <w:p w14:paraId="710676E7" w14:textId="77777777" w:rsidR="0014521B" w:rsidRPr="00EB7EAA" w:rsidRDefault="009421A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rFonts w:cs="ArialNarrow"/>
          <w:szCs w:val="24"/>
          <w:lang w:eastAsia="pl-PL"/>
        </w:rPr>
        <w:t>Niektóre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</w:t>
      </w:r>
      <w:r w:rsidR="00927C90" w:rsidRPr="00EB7EAA">
        <w:rPr>
          <w:rFonts w:cs="ArialNarrow"/>
          <w:szCs w:val="24"/>
          <w:lang w:eastAsia="pl-PL"/>
        </w:rPr>
        <w:t>rzykłady</w:t>
      </w:r>
      <w:r w:rsidR="00656606">
        <w:rPr>
          <w:rFonts w:cs="ArialNarrow"/>
          <w:szCs w:val="24"/>
          <w:lang w:eastAsia="pl-PL"/>
        </w:rPr>
        <w:t xml:space="preserve"> </w:t>
      </w:r>
      <w:r w:rsidR="00927C90" w:rsidRPr="00EB7EAA">
        <w:rPr>
          <w:rFonts w:cs="ArialNarrow"/>
          <w:szCs w:val="24"/>
          <w:lang w:eastAsia="pl-PL"/>
        </w:rPr>
        <w:t>wariantów</w:t>
      </w:r>
      <w:r w:rsidR="00656606">
        <w:rPr>
          <w:rFonts w:cs="ArialNarrow"/>
          <w:szCs w:val="24"/>
          <w:lang w:eastAsia="pl-PL"/>
        </w:rPr>
        <w:t xml:space="preserve"> </w:t>
      </w:r>
      <w:r w:rsidR="00927C90" w:rsidRPr="00EB7EAA">
        <w:rPr>
          <w:rFonts w:cs="ArialNarrow"/>
          <w:szCs w:val="24"/>
          <w:lang w:eastAsia="pl-PL"/>
        </w:rPr>
        <w:t>strategicznych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przedstawiono</w:t>
      </w:r>
      <w:r w:rsidR="00656606">
        <w:rPr>
          <w:rFonts w:cs="ArialNarrow"/>
          <w:szCs w:val="24"/>
          <w:lang w:eastAsia="pl-PL"/>
        </w:rPr>
        <w:t xml:space="preserve"> </w:t>
      </w:r>
      <w:r w:rsidR="007234E0" w:rsidRPr="00EB7EAA">
        <w:rPr>
          <w:rFonts w:cs="ArialNarrow"/>
          <w:szCs w:val="24"/>
          <w:lang w:eastAsia="pl-PL"/>
        </w:rPr>
        <w:t>poniżej</w:t>
      </w:r>
      <w:r w:rsidR="00927C90" w:rsidRPr="00EB7EAA">
        <w:rPr>
          <w:rStyle w:val="Odwoanieprzypisudolnego"/>
          <w:rFonts w:cs="ArialNarrow"/>
          <w:szCs w:val="24"/>
          <w:lang w:eastAsia="pl-PL"/>
        </w:rPr>
        <w:footnoteReference w:id="12"/>
      </w:r>
      <w:r w:rsidR="00927C90" w:rsidRPr="00EB7EAA">
        <w:rPr>
          <w:rFonts w:cs="ArialNarrow"/>
          <w:szCs w:val="24"/>
          <w:lang w:eastAsia="pl-PL"/>
        </w:rPr>
        <w:t>:</w:t>
      </w:r>
      <w:r w:rsidR="00656606">
        <w:rPr>
          <w:szCs w:val="24"/>
        </w:rPr>
        <w:t xml:space="preserve"> </w:t>
      </w:r>
    </w:p>
    <w:p w14:paraId="200C75C1" w14:textId="77777777" w:rsidR="00927C90" w:rsidRPr="00EB7EAA" w:rsidRDefault="009421A9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</w:t>
      </w:r>
      <w:r w:rsidR="00927C90" w:rsidRPr="00EB7EAA">
        <w:rPr>
          <w:sz w:val="24"/>
          <w:szCs w:val="24"/>
        </w:rPr>
        <w:t>óżne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trasy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czas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budowy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projektach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transportowych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(drogi/linie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kolejowe);</w:t>
      </w:r>
      <w:r w:rsidR="00656606">
        <w:rPr>
          <w:sz w:val="24"/>
          <w:szCs w:val="24"/>
        </w:rPr>
        <w:t xml:space="preserve"> </w:t>
      </w:r>
    </w:p>
    <w:p w14:paraId="190E2E14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scentralizowane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zdecentralizowane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wodociągowe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ścieków;</w:t>
      </w:r>
      <w:r w:rsidR="00656606">
        <w:rPr>
          <w:sz w:val="24"/>
          <w:szCs w:val="24"/>
        </w:rPr>
        <w:t xml:space="preserve"> </w:t>
      </w:r>
    </w:p>
    <w:p w14:paraId="500A7B3F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nowy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grawitacyjnej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przepompownia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ciśnieniowe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kierunku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przepustowości,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zwiększenia;</w:t>
      </w:r>
      <w:r w:rsidR="00656606">
        <w:rPr>
          <w:sz w:val="24"/>
          <w:szCs w:val="24"/>
        </w:rPr>
        <w:t xml:space="preserve"> </w:t>
      </w:r>
    </w:p>
    <w:p w14:paraId="3D2712C1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lokalizacje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centralnego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składowiska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zagospodarowania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regionie;</w:t>
      </w:r>
      <w:r w:rsidR="00656606">
        <w:rPr>
          <w:sz w:val="24"/>
          <w:szCs w:val="24"/>
        </w:rPr>
        <w:t xml:space="preserve"> </w:t>
      </w:r>
    </w:p>
    <w:p w14:paraId="1F073B0D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doposażenie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elektrowni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wybudowanie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nowej;</w:t>
      </w:r>
      <w:r w:rsidR="00656606">
        <w:rPr>
          <w:sz w:val="24"/>
          <w:szCs w:val="24"/>
        </w:rPr>
        <w:t xml:space="preserve"> </w:t>
      </w:r>
    </w:p>
    <w:p w14:paraId="73711964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obciążenia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szczytowego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energii;</w:t>
      </w:r>
      <w:r w:rsidR="00656606">
        <w:rPr>
          <w:sz w:val="24"/>
          <w:szCs w:val="24"/>
        </w:rPr>
        <w:t xml:space="preserve"> </w:t>
      </w:r>
    </w:p>
    <w:p w14:paraId="54E80FF5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budowa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podziemnych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zbiorników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terminal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LNG;</w:t>
      </w:r>
      <w:r w:rsidR="00656606">
        <w:rPr>
          <w:sz w:val="24"/>
          <w:szCs w:val="24"/>
        </w:rPr>
        <w:t xml:space="preserve"> </w:t>
      </w:r>
    </w:p>
    <w:p w14:paraId="65B902F1" w14:textId="77777777" w:rsidR="00927C90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duże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struktury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szpitalne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szerszy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oferty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ochrony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zdrowia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świadczonych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lokalne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przychodnie;</w:t>
      </w:r>
      <w:r w:rsidR="00656606">
        <w:rPr>
          <w:sz w:val="24"/>
          <w:szCs w:val="24"/>
        </w:rPr>
        <w:t xml:space="preserve"> </w:t>
      </w:r>
    </w:p>
    <w:p w14:paraId="05B2C8B2" w14:textId="77777777" w:rsidR="006A54DE" w:rsidRPr="00EB7EAA" w:rsidRDefault="00927C90" w:rsidP="00265A33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ewentualne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wykorzystanie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infrastruktury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kanały,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słupy,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sieci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kanalizacyjne)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(energetyka,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transport)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zmniejszenia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dostęp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łączy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szerokopasmowych</w:t>
      </w:r>
      <w:r w:rsidR="009421A9" w:rsidRPr="00EB7EAA">
        <w:rPr>
          <w:rStyle w:val="Odwoanieprzypisudolnego"/>
          <w:sz w:val="24"/>
          <w:szCs w:val="24"/>
        </w:rPr>
        <w:footnoteReference w:id="13"/>
      </w:r>
      <w:r w:rsidR="009421A9" w:rsidRPr="00EB7EAA">
        <w:rPr>
          <w:sz w:val="24"/>
          <w:szCs w:val="24"/>
        </w:rPr>
        <w:t>.</w:t>
      </w:r>
    </w:p>
    <w:p w14:paraId="36CA12C8" w14:textId="77777777" w:rsidR="006A54DE" w:rsidRPr="00EB7EAA" w:rsidRDefault="007234E0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rFonts w:cs="ArialNarrow"/>
          <w:b/>
          <w:szCs w:val="24"/>
          <w:lang w:eastAsia="pl-PL"/>
        </w:rPr>
        <w:t>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ramach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analizy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strategicznej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nie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należy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porównywać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wariantów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różniących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się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pod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względem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technologicznym,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które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będą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przedmiotem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analizy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rozwiązań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technologicznych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punkcie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drugim</w:t>
      </w:r>
      <w:r w:rsidRPr="00EB7EAA">
        <w:rPr>
          <w:b/>
          <w:szCs w:val="24"/>
        </w:rPr>
        <w:t>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jednak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zaznaczyć,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że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jeżeli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najbardziej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logiczne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budowa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jakiegoś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obiektu)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jakichś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przyczyn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technicznych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czy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lokalizacyjnych)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niemożliwe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wykonania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wówczas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należy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tym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punkcie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wskazać</w:t>
      </w:r>
      <w:r w:rsidR="00656606">
        <w:rPr>
          <w:b/>
          <w:szCs w:val="24"/>
        </w:rPr>
        <w:t xml:space="preserve"> </w:t>
      </w:r>
      <w:r w:rsidR="00B23530" w:rsidRPr="00EB7EAA">
        <w:rPr>
          <w:b/>
          <w:szCs w:val="24"/>
        </w:rPr>
        <w:t>i</w:t>
      </w:r>
      <w:r w:rsidR="00656606">
        <w:rPr>
          <w:b/>
          <w:szCs w:val="24"/>
        </w:rPr>
        <w:t xml:space="preserve"> </w:t>
      </w:r>
      <w:r w:rsidR="00B23530" w:rsidRPr="00EB7EAA">
        <w:rPr>
          <w:b/>
          <w:szCs w:val="24"/>
        </w:rPr>
        <w:t>opisać</w:t>
      </w:r>
      <w:r w:rsidRPr="00EB7EAA">
        <w:rPr>
          <w:b/>
          <w:szCs w:val="24"/>
        </w:rPr>
        <w:t>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sposób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zostanie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wykazane,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że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wnioskodawca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brał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pod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uwagę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rozwiązanie,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ale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według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wykonalne.</w:t>
      </w:r>
      <w:r w:rsidR="00656606">
        <w:rPr>
          <w:b/>
          <w:szCs w:val="24"/>
        </w:rPr>
        <w:t xml:space="preserve"> </w:t>
      </w:r>
    </w:p>
    <w:p w14:paraId="013F4C64" w14:textId="77777777" w:rsidR="007234E0" w:rsidRPr="00EB7EAA" w:rsidRDefault="007234E0" w:rsidP="00EB7EAA">
      <w:pPr>
        <w:autoSpaceDE w:val="0"/>
        <w:autoSpaceDN w:val="0"/>
        <w:adjustRightInd w:val="0"/>
        <w:spacing w:after="0"/>
        <w:jc w:val="both"/>
        <w:rPr>
          <w:rFonts w:cs="ArialNarrow"/>
          <w:szCs w:val="24"/>
          <w:lang w:eastAsia="pl-PL"/>
        </w:rPr>
      </w:pPr>
      <w:r w:rsidRPr="00EB7EAA">
        <w:rPr>
          <w:rFonts w:cs="ArialNarrow"/>
          <w:szCs w:val="24"/>
          <w:lang w:eastAsia="pl-PL"/>
        </w:rPr>
        <w:t>Analizę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wariantów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strategicznych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należy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przeprowadzić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za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pomocą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analizy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wielokryterialnej</w:t>
      </w:r>
      <w:r w:rsidR="00656606">
        <w:rPr>
          <w:rFonts w:cs="ArialNarrow"/>
          <w:szCs w:val="24"/>
          <w:lang w:eastAsia="pl-PL"/>
        </w:rPr>
        <w:t xml:space="preserve"> </w:t>
      </w:r>
      <w:r w:rsidR="00B23530" w:rsidRPr="00EB7EAA">
        <w:rPr>
          <w:rFonts w:cs="ArialNarrow"/>
          <w:szCs w:val="24"/>
          <w:lang w:eastAsia="pl-PL"/>
        </w:rPr>
        <w:t>–</w:t>
      </w:r>
      <w:r w:rsidR="00656606">
        <w:rPr>
          <w:rFonts w:cs="ArialNarrow"/>
          <w:szCs w:val="24"/>
          <w:lang w:eastAsia="pl-PL"/>
        </w:rPr>
        <w:t xml:space="preserve"> </w:t>
      </w:r>
      <w:r w:rsidR="00B23530" w:rsidRPr="00EB7EAA">
        <w:rPr>
          <w:rFonts w:cs="ArialNarrow"/>
          <w:szCs w:val="24"/>
          <w:lang w:eastAsia="pl-PL"/>
        </w:rPr>
        <w:t>AW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(patrz: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słownik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pojęć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i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skrótów,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definicja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analizy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wielokryterialnej)</w:t>
      </w:r>
      <w:r w:rsidR="00D36B81" w:rsidRPr="00EB7EAA">
        <w:rPr>
          <w:rFonts w:cs="ArialNarrow"/>
          <w:szCs w:val="24"/>
          <w:lang w:eastAsia="pl-PL"/>
        </w:rPr>
        <w:t>,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do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której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co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do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zasady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powinny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zostać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przyjęte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o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charakterze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jakościowym.</w:t>
      </w:r>
    </w:p>
    <w:p w14:paraId="7462419C" w14:textId="77777777" w:rsidR="00D23D73" w:rsidRPr="00EB7EAA" w:rsidRDefault="00D23D73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Tym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niemiej,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ilościowych,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łatwe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zmierzenia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7E6272">
        <w:rPr>
          <w:bCs/>
          <w:szCs w:val="24"/>
        </w:rPr>
        <w:t> 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być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również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zasadne.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pozwala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łatwiej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uzasadnić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przyznawane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Zastosowane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odzwierciedlać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cele,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którymi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kierują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się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decydenci.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zasady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być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zbieżne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celami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projektu,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choć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możliwe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również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7E6272">
        <w:rPr>
          <w:bCs/>
          <w:szCs w:val="24"/>
        </w:rPr>
        <w:t> </w:t>
      </w:r>
      <w:r w:rsidRPr="00EB7EAA">
        <w:rPr>
          <w:bCs/>
          <w:szCs w:val="24"/>
        </w:rPr>
        <w:t>zależności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specyfiki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dokonywanych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wyborów.</w:t>
      </w:r>
      <w:r w:rsidR="00656606">
        <w:rPr>
          <w:bCs/>
          <w:szCs w:val="24"/>
        </w:rPr>
        <w:t xml:space="preserve"> </w:t>
      </w:r>
    </w:p>
    <w:p w14:paraId="787C0118" w14:textId="77777777" w:rsidR="006A3667" w:rsidRPr="00EB7EAA" w:rsidRDefault="00D23D73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Po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ustaleniu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należy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przypisać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wagi.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sumować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się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100%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oraz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odpowiadać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znaczeniu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widzenia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decydentów.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Ustalić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należy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maksymalną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minimalną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ilość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Następnym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etapem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(ilościowa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lub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jakościowa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zależności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rodzaju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przyjętego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kryterium)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wpływu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przypisanie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punktowych.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kończy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obliczenie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dla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każdego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analizowanego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sumarycznego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wskaźnika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punktowej,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zgodnie</w:t>
      </w:r>
      <w:r w:rsidR="00656606">
        <w:rPr>
          <w:rFonts w:ascii="ArialNarrow" w:hAnsi="ArialNarrow" w:cs="ArialNarrow"/>
          <w:szCs w:val="24"/>
          <w:lang w:eastAsia="pl-PL"/>
        </w:rPr>
        <w:t xml:space="preserve"> </w:t>
      </w:r>
      <w:r w:rsidR="006A3667"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przypisanymi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wcześniej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wagami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i</w:t>
      </w:r>
      <w:r w:rsidR="005F24B2">
        <w:rPr>
          <w:bCs/>
          <w:szCs w:val="24"/>
        </w:rPr>
        <w:t> </w:t>
      </w:r>
      <w:r w:rsidR="006A3667" w:rsidRPr="00EB7EAA">
        <w:rPr>
          <w:bCs/>
          <w:szCs w:val="24"/>
        </w:rPr>
        <w:t>wybór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wariantu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optymalnego</w:t>
      </w:r>
      <w:r w:rsidR="00FF6F25" w:rsidRPr="00EB7EAA">
        <w:rPr>
          <w:bCs/>
          <w:szCs w:val="24"/>
        </w:rPr>
        <w:t>.</w:t>
      </w:r>
    </w:p>
    <w:p w14:paraId="4842F206" w14:textId="77777777" w:rsidR="000251C6" w:rsidRPr="00684210" w:rsidRDefault="006A3667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ramach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niniejszej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instrukcji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pozostawiono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projektodawcy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swobodę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określenia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dokładnego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sposobu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postępowania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strategicznej.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Możliwe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np.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porównanie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wszystkich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</w:t>
      </w:r>
      <w:r w:rsidR="0058507B" w:rsidRPr="00EB7EAA">
        <w:rPr>
          <w:bCs/>
          <w:szCs w:val="24"/>
        </w:rPr>
        <w:t>dnym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kroku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(stosując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analizę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wielokryterialną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tylko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raz),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bądź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kilku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krokach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(np.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osobna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podjęcia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decyzji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lokalizacji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inwestycji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oraz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operatora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inwestycji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inwestor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lub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jednostka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lastRenderedPageBreak/>
        <w:t>zależna).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Minimalny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strategicznej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stanowi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jednak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porównanie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przynajmniej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dwóch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wariantów.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Przykładową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AW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zaprezentowano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tabeli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poniżej</w:t>
      </w:r>
      <w:r w:rsidR="000251C6" w:rsidRPr="00EB7EAA">
        <w:rPr>
          <w:bCs/>
          <w:szCs w:val="24"/>
        </w:rPr>
        <w:t>:</w:t>
      </w:r>
    </w:p>
    <w:tbl>
      <w:tblPr>
        <w:tblW w:w="89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478"/>
        <w:gridCol w:w="1174"/>
        <w:gridCol w:w="1223"/>
      </w:tblGrid>
      <w:tr w:rsidR="000251C6" w:rsidRPr="00EB7EAA" w14:paraId="543630B9" w14:textId="77777777" w:rsidTr="00684210">
        <w:trPr>
          <w:trHeight w:val="562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BB735" w14:textId="77777777"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Kryterium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(niemierzalne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pieniężnie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projektu)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03CBA" w14:textId="77777777"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Stopień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wpływu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projektu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na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społeczny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(ocena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punktowa)</w:t>
            </w:r>
            <w:r w:rsidR="00A51467">
              <w:rPr>
                <w:rStyle w:val="Odwoanieprzypisudolnego"/>
                <w:b/>
                <w:bCs/>
                <w:sz w:val="20"/>
                <w:szCs w:val="20"/>
              </w:rPr>
              <w:footnoteReference w:id="14"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6888F" w14:textId="77777777"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Waga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19963" w14:textId="77777777"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Wpływ</w:t>
            </w:r>
          </w:p>
        </w:tc>
      </w:tr>
      <w:tr w:rsidR="00D36B81" w:rsidRPr="00EB7EAA" w14:paraId="6F37CDEA" w14:textId="77777777" w:rsidTr="0050702F">
        <w:trPr>
          <w:trHeight w:val="252"/>
          <w:jc w:val="center"/>
        </w:trPr>
        <w:tc>
          <w:tcPr>
            <w:tcW w:w="8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8072B" w14:textId="77777777"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EB7EAA">
              <w:rPr>
                <w:b/>
                <w:sz w:val="20"/>
                <w:szCs w:val="20"/>
                <w:u w:val="single"/>
              </w:rPr>
              <w:t>Projekt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nr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1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(wariant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A)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36B81" w:rsidRPr="00EB7EAA" w14:paraId="52365CFD" w14:textId="77777777" w:rsidTr="00684210">
        <w:trPr>
          <w:trHeight w:val="248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38D48" w14:textId="77777777"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Sprawiedliwość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społeczna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(cena)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FE5FD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6E4C9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3F6F9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1,2</w:t>
            </w:r>
          </w:p>
        </w:tc>
      </w:tr>
      <w:tr w:rsidR="00D36B81" w:rsidRPr="00EB7EAA" w14:paraId="7EB4E370" w14:textId="77777777" w:rsidTr="00684210">
        <w:trPr>
          <w:trHeight w:val="212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A2809" w14:textId="77777777"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Równość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szans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E97BE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02FE4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9E578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0,2</w:t>
            </w:r>
          </w:p>
        </w:tc>
      </w:tr>
      <w:tr w:rsidR="00D36B81" w:rsidRPr="00EB7EAA" w14:paraId="639FA9B4" w14:textId="77777777" w:rsidTr="005A5CB1">
        <w:trPr>
          <w:trHeight w:val="397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64C0B" w14:textId="77777777"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Ochrona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środowiska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(np.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zmniejszenie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emisji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gazów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cieplarnianych</w:t>
            </w:r>
            <w:r w:rsidR="0050702F" w:rsidRPr="00684210">
              <w:rPr>
                <w:sz w:val="18"/>
                <w:szCs w:val="18"/>
              </w:rPr>
              <w:t>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042A6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9AF80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E8921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0,8</w:t>
            </w:r>
          </w:p>
        </w:tc>
      </w:tr>
      <w:tr w:rsidR="00D36B81" w:rsidRPr="00EB7EAA" w14:paraId="2948363A" w14:textId="77777777" w:rsidTr="00684210">
        <w:trPr>
          <w:trHeight w:val="283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E3BD3" w14:textId="77777777"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9FAE7" w14:textId="77777777"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umiarkowany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wpływ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1D19" w14:textId="77777777" w:rsidR="0070183D" w:rsidRPr="00EB7EAA" w:rsidRDefault="00D36B81" w:rsidP="005A5C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D36B81" w:rsidRPr="00EB7EAA" w14:paraId="28264349" w14:textId="77777777" w:rsidTr="0050702F">
        <w:trPr>
          <w:trHeight w:val="232"/>
          <w:jc w:val="center"/>
        </w:trPr>
        <w:tc>
          <w:tcPr>
            <w:tcW w:w="8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52982" w14:textId="77777777"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EB7EAA">
              <w:rPr>
                <w:b/>
                <w:sz w:val="20"/>
                <w:szCs w:val="20"/>
                <w:u w:val="single"/>
              </w:rPr>
              <w:t>Projekt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nr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2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(wariant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B)</w:t>
            </w:r>
          </w:p>
        </w:tc>
      </w:tr>
      <w:tr w:rsidR="00D36B81" w:rsidRPr="00EB7EAA" w14:paraId="2D14583D" w14:textId="77777777" w:rsidTr="00684210">
        <w:trPr>
          <w:trHeight w:val="200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FFFF0" w14:textId="77777777"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Sprawiedliwość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społeczna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5A5CB1">
              <w:rPr>
                <w:sz w:val="18"/>
                <w:szCs w:val="18"/>
              </w:rPr>
              <w:t>(cena)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A91C6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72EE0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E07F6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2,4</w:t>
            </w:r>
          </w:p>
        </w:tc>
      </w:tr>
      <w:tr w:rsidR="00D36B81" w:rsidRPr="00EB7EAA" w14:paraId="15EACEC8" w14:textId="77777777" w:rsidTr="00684210">
        <w:trPr>
          <w:trHeight w:val="178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D6E8" w14:textId="77777777"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Równość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szans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64558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F0A3F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910EB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0,2</w:t>
            </w:r>
          </w:p>
        </w:tc>
      </w:tr>
      <w:tr w:rsidR="00D36B81" w:rsidRPr="00EB7EAA" w14:paraId="49E83AE7" w14:textId="77777777" w:rsidTr="00684210">
        <w:trPr>
          <w:trHeight w:val="400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B861A" w14:textId="77777777"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Ochrona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środowiska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(np.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zmniejszenie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emisji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gazów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cieplarnianych)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47D2C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2BFD9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6D0E1" w14:textId="77777777"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0,4</w:t>
            </w:r>
          </w:p>
        </w:tc>
      </w:tr>
      <w:tr w:rsidR="00D36B81" w:rsidRPr="00EB7EAA" w14:paraId="7C82EF72" w14:textId="77777777" w:rsidTr="00684210">
        <w:trPr>
          <w:trHeight w:val="283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890CC" w14:textId="77777777" w:rsidR="0070183D" w:rsidRPr="00EB7EAA" w:rsidRDefault="0050702F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7DCFE" w14:textId="77777777"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istotny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wpływ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D1EC" w14:textId="77777777" w:rsidR="0070183D" w:rsidRPr="00EB7EAA" w:rsidRDefault="00D36B81" w:rsidP="00A5146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3,0</w:t>
            </w:r>
          </w:p>
        </w:tc>
      </w:tr>
    </w:tbl>
    <w:p w14:paraId="4628E8C4" w14:textId="77777777" w:rsidR="006A54DE" w:rsidRPr="00EB7EAA" w:rsidRDefault="000251C6" w:rsidP="00841B4D">
      <w:pPr>
        <w:jc w:val="both"/>
      </w:pPr>
      <w:r w:rsidRPr="00EB7EAA">
        <w:t>Zsumowanie</w:t>
      </w:r>
      <w:r w:rsidR="00656606">
        <w:t xml:space="preserve"> </w:t>
      </w:r>
      <w:r w:rsidRPr="00EB7EAA">
        <w:t>poszczególnych</w:t>
      </w:r>
      <w:r w:rsidR="00656606">
        <w:t xml:space="preserve"> </w:t>
      </w:r>
      <w:r w:rsidRPr="00EB7EAA">
        <w:t>ocen</w:t>
      </w:r>
      <w:r w:rsidR="00656606">
        <w:t xml:space="preserve"> </w:t>
      </w:r>
      <w:r w:rsidRPr="00EB7EAA">
        <w:t>punktowych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różnych</w:t>
      </w:r>
      <w:r w:rsidR="00656606">
        <w:t xml:space="preserve"> </w:t>
      </w:r>
      <w:r w:rsidRPr="00EB7EAA">
        <w:t>kryteriów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oparciu</w:t>
      </w:r>
      <w:r w:rsidR="00656606">
        <w:t xml:space="preserve"> </w:t>
      </w:r>
      <w:r w:rsidRPr="00EB7EAA">
        <w:t>o</w:t>
      </w:r>
      <w:r w:rsidR="00841B4D">
        <w:t> </w:t>
      </w:r>
      <w:r w:rsidRPr="00EB7EAA">
        <w:t>ujawnione</w:t>
      </w:r>
      <w:r w:rsidR="00656606">
        <w:t xml:space="preserve"> </w:t>
      </w:r>
      <w:r w:rsidRPr="00EB7EAA">
        <w:t>preferencje,</w:t>
      </w:r>
      <w:r w:rsidR="00656606">
        <w:t xml:space="preserve"> </w:t>
      </w:r>
      <w:r w:rsidRPr="00EB7EAA">
        <w:t>daje</w:t>
      </w:r>
      <w:r w:rsidR="00656606">
        <w:t xml:space="preserve"> </w:t>
      </w:r>
      <w:r w:rsidRPr="00EB7EAA">
        <w:t>ocenę</w:t>
      </w:r>
      <w:r w:rsidR="00656606">
        <w:t xml:space="preserve"> </w:t>
      </w:r>
      <w:r w:rsidRPr="00EB7EAA">
        <w:t>liczbową</w:t>
      </w:r>
      <w:r w:rsidR="00656606">
        <w:t xml:space="preserve"> </w:t>
      </w:r>
      <w:r w:rsidRPr="00EB7EAA">
        <w:t>poszczególnych</w:t>
      </w:r>
      <w:r w:rsidR="00656606">
        <w:t xml:space="preserve"> </w:t>
      </w:r>
      <w:r w:rsidRPr="00EB7EAA">
        <w:t>wariantów.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podanym</w:t>
      </w:r>
      <w:r w:rsidR="00656606">
        <w:t xml:space="preserve"> </w:t>
      </w:r>
      <w:r w:rsidRPr="00EB7EAA">
        <w:t>przykładzie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nr</w:t>
      </w:r>
      <w:r w:rsidR="00656606">
        <w:t xml:space="preserve"> </w:t>
      </w:r>
      <w:r w:rsidRPr="00EB7EAA">
        <w:t>2</w:t>
      </w:r>
      <w:r w:rsidR="00656606">
        <w:t xml:space="preserve"> </w:t>
      </w:r>
      <w:r w:rsidRPr="00EB7EAA">
        <w:t>ma</w:t>
      </w:r>
      <w:r w:rsidR="00656606">
        <w:t xml:space="preserve"> </w:t>
      </w:r>
      <w:r w:rsidRPr="00EB7EAA">
        <w:t>większe</w:t>
      </w:r>
      <w:r w:rsidR="00656606">
        <w:t xml:space="preserve"> </w:t>
      </w:r>
      <w:r w:rsidRPr="00EB7EAA">
        <w:t>oddziaływanie</w:t>
      </w:r>
      <w:r w:rsidR="00656606">
        <w:t xml:space="preserve"> </w:t>
      </w:r>
      <w:r w:rsidRPr="00EB7EAA">
        <w:t>społeczne</w:t>
      </w:r>
      <w:r w:rsidR="00656606">
        <w:t xml:space="preserve"> </w:t>
      </w:r>
      <w:r w:rsidRPr="00EB7EAA">
        <w:t>ze</w:t>
      </w:r>
      <w:r w:rsidR="00656606">
        <w:t xml:space="preserve"> </w:t>
      </w:r>
      <w:r w:rsidRPr="00EB7EAA">
        <w:t>względu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preferencje</w:t>
      </w:r>
      <w:r w:rsidR="00656606">
        <w:t xml:space="preserve"> </w:t>
      </w:r>
      <w:r w:rsidRPr="00EB7EAA">
        <w:t>przyznane</w:t>
      </w:r>
      <w:r w:rsidR="00656606">
        <w:t xml:space="preserve"> </w:t>
      </w:r>
      <w:r w:rsidRPr="00EB7EAA">
        <w:t>wybranym</w:t>
      </w:r>
      <w:r w:rsidR="00656606">
        <w:t xml:space="preserve"> </w:t>
      </w:r>
      <w:r w:rsidRPr="00EB7EAA">
        <w:t>kryteriom</w:t>
      </w:r>
      <w:r w:rsidR="00656606">
        <w:t xml:space="preserve"> </w:t>
      </w:r>
      <w:r w:rsidRPr="00EB7EAA">
        <w:t>społecznym.</w:t>
      </w:r>
    </w:p>
    <w:p w14:paraId="2A7686E3" w14:textId="77777777" w:rsidR="006A54DE" w:rsidRPr="00EB7EAA" w:rsidRDefault="00D36B81" w:rsidP="00EB7EAA">
      <w:pPr>
        <w:pStyle w:val="Bezodstpw"/>
        <w:spacing w:line="276" w:lineRule="auto"/>
        <w:jc w:val="both"/>
        <w:rPr>
          <w:rFonts w:cs="Verdana"/>
          <w:b/>
          <w:sz w:val="24"/>
          <w:szCs w:val="24"/>
          <w:u w:val="single"/>
          <w:lang w:eastAsia="pl-PL"/>
        </w:rPr>
      </w:pPr>
      <w:r w:rsidRPr="00EB7EAA">
        <w:rPr>
          <w:b/>
          <w:sz w:val="24"/>
          <w:szCs w:val="24"/>
          <w:u w:val="single"/>
        </w:rPr>
        <w:t>Należy</w:t>
      </w:r>
      <w:r w:rsidR="00656606">
        <w:rPr>
          <w:b/>
          <w:sz w:val="24"/>
          <w:szCs w:val="24"/>
          <w:u w:val="single"/>
        </w:rPr>
        <w:t xml:space="preserve"> </w:t>
      </w:r>
      <w:r w:rsidR="000251C6" w:rsidRPr="00EB7EAA">
        <w:rPr>
          <w:b/>
          <w:sz w:val="24"/>
          <w:szCs w:val="24"/>
          <w:u w:val="single"/>
        </w:rPr>
        <w:t>jednak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pamiętać,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aby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dobierane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kryteria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przeprowadzanej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analizy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opcji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dostosować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rodzaju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realizowanego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projektu.</w:t>
      </w:r>
      <w:r w:rsidR="00656606">
        <w:rPr>
          <w:b/>
          <w:sz w:val="24"/>
          <w:szCs w:val="24"/>
          <w:u w:val="single"/>
        </w:rPr>
        <w:t xml:space="preserve"> </w:t>
      </w:r>
    </w:p>
    <w:p w14:paraId="20218A95" w14:textId="77777777" w:rsidR="00F74437" w:rsidRPr="00EB7EAA" w:rsidRDefault="0058507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szCs w:val="24"/>
        </w:rPr>
        <w:t>2.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</w:t>
      </w:r>
      <w:r w:rsidR="00733BC1" w:rsidRPr="00EB7EAA">
        <w:rPr>
          <w:b/>
          <w:szCs w:val="24"/>
        </w:rPr>
        <w:t>tap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drugi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rozwiązań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technologicznych</w:t>
      </w:r>
      <w:r w:rsidR="00656606">
        <w:rPr>
          <w:b/>
          <w:szCs w:val="24"/>
        </w:rPr>
        <w:t xml:space="preserve"> </w:t>
      </w:r>
      <w:r w:rsidR="00733BC1" w:rsidRPr="00A435E1">
        <w:rPr>
          <w:szCs w:val="24"/>
        </w:rPr>
        <w:t>–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przeanalizować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poszczególne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kątem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technologicznym.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tego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etapu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zazwyczaj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mają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oparte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kryteriach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ilościowych</w:t>
      </w:r>
      <w:r w:rsidR="007678D4"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14:paraId="41CE40FC" w14:textId="77777777" w:rsidR="00A43CA2" w:rsidRPr="00EB7EAA" w:rsidRDefault="00F7443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dalszej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poddać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najmniej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dwa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technologiczne.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technologicznych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wnioskodawcę,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wskazanie,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najbardziej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najszybsze,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najłatwiejsze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zależności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celów).</w:t>
      </w:r>
      <w:r w:rsidR="00656606">
        <w:rPr>
          <w:szCs w:val="24"/>
        </w:rPr>
        <w:t xml:space="preserve"> </w:t>
      </w:r>
    </w:p>
    <w:p w14:paraId="209FC8A2" w14:textId="77777777" w:rsidR="001B6127" w:rsidRPr="00EB7EAA" w:rsidRDefault="003E4A13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Przewodnikiem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AKK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pewnych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okolicznościach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warto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pierwszy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technologiczny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rozważyć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rozwiązanie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„minimum”,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zakłada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ponoszenie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</w:t>
      </w:r>
      <w:r w:rsidR="00A43CA2" w:rsidRPr="00EB7EAA">
        <w:rPr>
          <w:szCs w:val="24"/>
        </w:rPr>
        <w:t>nych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inwestycyjnych,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częściową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modernizację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istniejącej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wykraczających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poza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bieżące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działania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utrzymania.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ten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uwzględnia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pewną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kwotę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niezbędnych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udosko</w:t>
      </w:r>
      <w:r w:rsidR="009D6B96" w:rsidRPr="00EB7EAA">
        <w:rPr>
          <w:szCs w:val="24"/>
        </w:rPr>
        <w:t>naleń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uniknięcia</w:t>
      </w:r>
      <w:r w:rsidR="00656606">
        <w:rPr>
          <w:szCs w:val="24"/>
        </w:rPr>
        <w:t xml:space="preserve"> </w:t>
      </w:r>
      <w:r w:rsidR="00103407" w:rsidRPr="00EB7EAA">
        <w:rPr>
          <w:szCs w:val="24"/>
        </w:rPr>
        <w:t>sankcji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bądź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pogorszenia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stanu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infrastruktury</w:t>
      </w:r>
      <w:r w:rsidR="00656606">
        <w:rPr>
          <w:rFonts w:ascii="Times New Roman" w:hAnsi="Times New Roman"/>
          <w:szCs w:val="24"/>
          <w:lang w:eastAsia="pl-PL"/>
        </w:rPr>
        <w:t xml:space="preserve"> </w:t>
      </w:r>
      <w:r w:rsidR="00E0442B" w:rsidRPr="00EB7EAA">
        <w:rPr>
          <w:rFonts w:ascii="Times New Roman" w:hAnsi="Times New Roman"/>
          <w:szCs w:val="24"/>
          <w:lang w:eastAsia="pl-PL"/>
        </w:rPr>
        <w:t>(</w:t>
      </w:r>
      <w:r w:rsidR="00E0442B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wynikiem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dos</w:t>
      </w:r>
      <w:r w:rsidRPr="00EB7EAA">
        <w:rPr>
          <w:szCs w:val="24"/>
        </w:rPr>
        <w:t>tosowania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przepisów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UE).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wziąć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synergię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zakresie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budowy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</w:t>
      </w:r>
      <w:r w:rsidRPr="00EB7EAA">
        <w:rPr>
          <w:szCs w:val="24"/>
        </w:rPr>
        <w:t>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transportowa/energetyczna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szybkich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sieci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szerokopasmowych)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lepszego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wykorzystania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publicznych,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zwiększenia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społeczno</w:t>
      </w:r>
      <w:r w:rsidR="00103407">
        <w:rPr>
          <w:szCs w:val="24"/>
        </w:rPr>
        <w:t>-</w:t>
      </w:r>
      <w:r w:rsidR="001B6127" w:rsidRPr="00EB7EAA">
        <w:rPr>
          <w:szCs w:val="24"/>
        </w:rPr>
        <w:t>ekonomicznego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zredukowania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środowisko.</w:t>
      </w:r>
      <w:r w:rsidR="00656606">
        <w:rPr>
          <w:szCs w:val="24"/>
        </w:rPr>
        <w:t xml:space="preserve"> </w:t>
      </w:r>
    </w:p>
    <w:p w14:paraId="2CE0B476" w14:textId="77777777" w:rsidR="005B2F5D" w:rsidRPr="00EB7EAA" w:rsidRDefault="00E0442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najmniej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dwóch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technologicznych,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nadać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nazwy</w:t>
      </w:r>
      <w:r w:rsidR="005B2F5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opisać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uzasadnić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technologii.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E</w:t>
      </w:r>
      <w:r w:rsidR="005B2F5D" w:rsidRPr="00EB7EAA">
        <w:rPr>
          <w:szCs w:val="24"/>
        </w:rPr>
        <w:t>lementem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uzasadnienia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zgodność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normami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PN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odpowiednich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parametrów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zgodność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standardami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polskimi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unijnymi,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możliwymi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trudnościami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wynikającymi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zastosowanie</w:t>
      </w:r>
      <w:r w:rsidR="00865F90" w:rsidRPr="00EB7EAA">
        <w:rPr>
          <w:szCs w:val="24"/>
        </w:rPr>
        <w:t>m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urządzeń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technicznych,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technologicznych,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negatywnym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wpływem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środowisko,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itp.</w:t>
      </w:r>
      <w:r w:rsidR="00656606">
        <w:rPr>
          <w:szCs w:val="24"/>
        </w:rPr>
        <w:t xml:space="preserve"> </w:t>
      </w:r>
    </w:p>
    <w:p w14:paraId="4377E2E4" w14:textId="77777777" w:rsidR="006A54DE" w:rsidRPr="00EB7EAA" w:rsidRDefault="003E4A13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Opis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pewność,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techniczno</w:t>
      </w:r>
      <w:r w:rsidR="00103407">
        <w:rPr>
          <w:szCs w:val="24"/>
        </w:rPr>
        <w:t>-</w:t>
      </w:r>
      <w:r w:rsidRPr="00EB7EAA">
        <w:rPr>
          <w:szCs w:val="24"/>
        </w:rPr>
        <w:t>technologicznym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sposoby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65A82" w:rsidRPr="00EB7EAA">
        <w:rPr>
          <w:szCs w:val="24"/>
        </w:rPr>
        <w:t>.</w:t>
      </w:r>
    </w:p>
    <w:p w14:paraId="69481E5E" w14:textId="77777777" w:rsidR="003E4A13" w:rsidRPr="00EB7EAA" w:rsidRDefault="003E4A13" w:rsidP="00A435E1">
      <w:pPr>
        <w:keepNext/>
        <w:autoSpaceDE w:val="0"/>
        <w:autoSpaceDN w:val="0"/>
        <w:adjustRightInd w:val="0"/>
        <w:jc w:val="both"/>
        <w:rPr>
          <w:szCs w:val="24"/>
        </w:rPr>
      </w:pP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Przewodnikiem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AKK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</w:t>
      </w:r>
      <w:r w:rsidR="00E0442B" w:rsidRPr="00EB7EAA">
        <w:rPr>
          <w:szCs w:val="24"/>
        </w:rPr>
        <w:t>tosuje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następujące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kryteria:</w:t>
      </w:r>
    </w:p>
    <w:p w14:paraId="0EC1D850" w14:textId="77777777" w:rsidR="003E4A13" w:rsidRPr="00A435E1" w:rsidRDefault="003E4A13" w:rsidP="00265A3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szCs w:val="24"/>
        </w:rPr>
      </w:pPr>
      <w:r w:rsidRPr="00A435E1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różne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alternatywne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ten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sam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niepowtarzalny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(np.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103407">
        <w:rPr>
          <w:szCs w:val="24"/>
        </w:rPr>
        <w:t> </w:t>
      </w:r>
      <w:r w:rsidRPr="00A435E1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mających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zapewnienie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zgodności,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posiadają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</w:t>
      </w:r>
      <w:r w:rsidR="00103407">
        <w:rPr>
          <w:szCs w:val="24"/>
        </w:rPr>
        <w:t> </w:t>
      </w:r>
      <w:r w:rsidRPr="00A435E1">
        <w:rPr>
          <w:szCs w:val="24"/>
        </w:rPr>
        <w:t>góry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określone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polityki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ilościowe)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podobne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zewnętrzne,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wyboru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dokonać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</w:t>
      </w:r>
      <w:r w:rsidR="00656606">
        <w:rPr>
          <w:szCs w:val="24"/>
        </w:rPr>
        <w:t xml:space="preserve"> </w:t>
      </w:r>
      <w:r w:rsidRPr="00A435E1">
        <w:rPr>
          <w:b/>
          <w:bCs/>
          <w:szCs w:val="24"/>
        </w:rPr>
        <w:t>kryterium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najniższych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kosztów</w:t>
      </w:r>
      <w:r w:rsidR="00665A82" w:rsidRPr="00EB7EAA">
        <w:rPr>
          <w:rStyle w:val="Odwoanieprzypisudolnego"/>
          <w:b/>
          <w:bCs/>
          <w:szCs w:val="24"/>
        </w:rPr>
        <w:footnoteReference w:id="15"/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jednostkę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wytworzonego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produktu;</w:t>
      </w:r>
      <w:r w:rsidR="00656606">
        <w:rPr>
          <w:szCs w:val="24"/>
        </w:rPr>
        <w:t xml:space="preserve"> </w:t>
      </w:r>
    </w:p>
    <w:p w14:paraId="3D943893" w14:textId="77777777" w:rsidR="003E4A13" w:rsidRPr="00A435E1" w:rsidRDefault="003E4A13" w:rsidP="00265A3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szCs w:val="24"/>
        </w:rPr>
      </w:pP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gdy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produkty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lub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zewnętrzne,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zwłaszcza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oddziaływanie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środowisko,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różnią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(zakładając,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że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taki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sam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cel),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zaleca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przeprowadzenie</w:t>
      </w:r>
      <w:r w:rsidR="00656606">
        <w:rPr>
          <w:szCs w:val="24"/>
        </w:rPr>
        <w:t xml:space="preserve"> </w:t>
      </w:r>
      <w:r w:rsidR="00466AD9" w:rsidRPr="00A435E1">
        <w:rPr>
          <w:b/>
          <w:bCs/>
          <w:szCs w:val="24"/>
        </w:rPr>
        <w:t>uproszczonej</w:t>
      </w:r>
      <w:r w:rsidR="00656606">
        <w:rPr>
          <w:b/>
          <w:bCs/>
          <w:szCs w:val="24"/>
        </w:rPr>
        <w:t xml:space="preserve"> </w:t>
      </w:r>
      <w:r w:rsidR="00466AD9" w:rsidRPr="00A435E1">
        <w:rPr>
          <w:b/>
          <w:bCs/>
          <w:szCs w:val="24"/>
        </w:rPr>
        <w:t>analizy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kosztów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i</w:t>
      </w:r>
      <w:r w:rsidR="00103407">
        <w:rPr>
          <w:b/>
          <w:bCs/>
          <w:szCs w:val="24"/>
        </w:rPr>
        <w:t> </w:t>
      </w:r>
      <w:r w:rsidRPr="00A435E1">
        <w:rPr>
          <w:b/>
          <w:bCs/>
          <w:szCs w:val="24"/>
        </w:rPr>
        <w:t>korzyści</w:t>
      </w:r>
      <w:r w:rsidR="00656606">
        <w:rPr>
          <w:b/>
          <w:bCs/>
          <w:szCs w:val="24"/>
        </w:rPr>
        <w:t xml:space="preserve"> </w:t>
      </w:r>
      <w:r w:rsidRPr="00A435E1">
        <w:rPr>
          <w:szCs w:val="24"/>
        </w:rPr>
        <w:t>dla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wszystkich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wybrania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najlepszego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nich.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Uproszczona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zwykle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oznacza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skupienie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pierwszych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wstępnych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szacunkach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popytu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przybliżonych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szacunkach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lastRenderedPageBreak/>
        <w:t>parametrów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finansowych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ekonomicznych,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tym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operacyjnych,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bezpośrednich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zewnętrznych.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Obliczenia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uproszczonej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dokonać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metody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przyrostowej.</w:t>
      </w:r>
      <w:r w:rsidR="00656606">
        <w:rPr>
          <w:szCs w:val="24"/>
        </w:rPr>
        <w:t xml:space="preserve"> </w:t>
      </w:r>
    </w:p>
    <w:p w14:paraId="7A4B2C20" w14:textId="77777777" w:rsidR="00DF0D72" w:rsidRPr="00EB7EAA" w:rsidRDefault="00232DC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alternatywnych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zasady,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oparta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jedną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z</w:t>
      </w:r>
      <w:r w:rsidR="0061739C">
        <w:rPr>
          <w:szCs w:val="24"/>
        </w:rPr>
        <w:t> </w:t>
      </w:r>
      <w:r w:rsidR="003F39C2" w:rsidRPr="00EB7EAA">
        <w:rPr>
          <w:szCs w:val="24"/>
        </w:rPr>
        <w:t>metod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(</w:t>
      </w:r>
      <w:r w:rsidRPr="00EB7EAA">
        <w:rPr>
          <w:szCs w:val="24"/>
        </w:rPr>
        <w:t>której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="00415E30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DGC)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ekonomiczną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(a</w:t>
      </w:r>
      <w:r w:rsidR="0061739C">
        <w:rPr>
          <w:szCs w:val="24"/>
        </w:rPr>
        <w:t> </w:t>
      </w:r>
      <w:r w:rsidR="003F39C2" w:rsidRPr="00EB7EAA">
        <w:rPr>
          <w:szCs w:val="24"/>
        </w:rPr>
        <w:t>dokładnie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wskaźnik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korzyści/koszty</w:t>
      </w:r>
      <w:r w:rsidR="00656606">
        <w:rPr>
          <w:szCs w:val="24"/>
        </w:rPr>
        <w:t xml:space="preserve"> </w:t>
      </w:r>
      <w:r w:rsidR="00C335CC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B/C).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łatwiejsza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stosowaniu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(AEK</w:t>
      </w:r>
      <w:r w:rsidR="003F39C2" w:rsidRPr="00EB7EAA">
        <w:rPr>
          <w:szCs w:val="24"/>
        </w:rPr>
        <w:t>)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tylko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uzasadnione,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zastosowana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osoby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opracowujące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SW</w:t>
      </w:r>
      <w:r w:rsidR="003F39C2"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14:paraId="30E8C7D4" w14:textId="77777777" w:rsidR="006A54DE" w:rsidRPr="00EB7EAA" w:rsidRDefault="003F39C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Wyjątkiem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sytuacja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polegająca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zostaną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regulaminie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konkursu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kryteria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odnoszące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bezp</w:t>
      </w:r>
      <w:r w:rsidR="00E96C74" w:rsidRPr="00EB7EAA">
        <w:rPr>
          <w:szCs w:val="24"/>
        </w:rPr>
        <w:t>ośrednio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obliczanych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(ERR,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ENPV,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B/C).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właśnie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Wówczas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technologicznych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pomocy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ekonomicznej.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wybranego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optymalnego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stanowiła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jednocześnie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korzyści.</w:t>
      </w:r>
    </w:p>
    <w:p w14:paraId="6D46E1C3" w14:textId="77777777" w:rsidR="000802E2" w:rsidRPr="00EB7EAA" w:rsidRDefault="00E96C74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Wyjątek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od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reguły,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polegającej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stosowaniu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efektywności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kosztowej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ekonomicznej,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stanowią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termomodernizacyjne,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dla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których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prawidłowo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opracowano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audyt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energetyczny.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widzenia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rozwiązań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technologicznych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kluczowe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0802E2" w:rsidRPr="00EB7EAA">
        <w:rPr>
          <w:b/>
          <w:szCs w:val="24"/>
        </w:rPr>
        <w:t>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aby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zawierał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porównanie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przynajmniej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różniących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technologicznie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wariantów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poszczególnych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ulepszeń.</w:t>
      </w:r>
      <w:r w:rsidR="00656606">
        <w:rPr>
          <w:b/>
          <w:szCs w:val="24"/>
        </w:rPr>
        <w:t xml:space="preserve"> </w:t>
      </w:r>
    </w:p>
    <w:p w14:paraId="534FD632" w14:textId="77777777" w:rsidR="006A54DE" w:rsidRPr="00EB7EAA" w:rsidRDefault="00E96C74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Porównanie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powinno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być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dokonane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pomocy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metodologii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wskazanej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D17B70">
        <w:rPr>
          <w:b/>
          <w:szCs w:val="24"/>
        </w:rPr>
        <w:t> </w:t>
      </w:r>
      <w:r w:rsidR="00426A5B" w:rsidRPr="00EB7EAA">
        <w:rPr>
          <w:b/>
          <w:szCs w:val="24"/>
        </w:rPr>
        <w:t>odpowiednich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przepisach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prawnych</w:t>
      </w:r>
      <w:r w:rsidR="000802E2" w:rsidRPr="00EB7EAA">
        <w:rPr>
          <w:rStyle w:val="Odwoanieprzypisudolnego"/>
          <w:b/>
          <w:szCs w:val="24"/>
        </w:rPr>
        <w:footnoteReference w:id="16"/>
      </w:r>
      <w:r w:rsidRPr="00EB7EAA">
        <w:rPr>
          <w:b/>
          <w:szCs w:val="24"/>
        </w:rPr>
        <w:t>.</w:t>
      </w:r>
    </w:p>
    <w:p w14:paraId="38D92CC8" w14:textId="77777777" w:rsidR="00E96C74" w:rsidRPr="00EB7EAA" w:rsidRDefault="00FD66CF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efektywno</w:t>
      </w:r>
      <w:r w:rsidRPr="00EB7EAA">
        <w:rPr>
          <w:rFonts w:hint="eastAsia"/>
          <w:b/>
          <w:bCs/>
          <w:szCs w:val="24"/>
        </w:rPr>
        <w:t>ś</w:t>
      </w:r>
      <w:r w:rsidRPr="00EB7EAA">
        <w:rPr>
          <w:b/>
          <w:bCs/>
          <w:szCs w:val="24"/>
        </w:rPr>
        <w:t>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kosztowej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(AEK)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stosuje</w:t>
      </w:r>
      <w:r w:rsidR="00656606">
        <w:rPr>
          <w:szCs w:val="24"/>
        </w:rPr>
        <w:t xml:space="preserve"> </w:t>
      </w:r>
      <w:r w:rsidR="00D17B70" w:rsidRPr="00EB7EAA">
        <w:rPr>
          <w:szCs w:val="24"/>
        </w:rPr>
        <w:t>się,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kategoriach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skwantyfikowania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rFonts w:ascii="ArialNarrow" w:hAnsi="ArialNarrow" w:cs="ArialNarrow"/>
          <w:szCs w:val="24"/>
          <w:lang w:eastAsia="pl-PL"/>
        </w:rPr>
        <w:t xml:space="preserve"> </w:t>
      </w:r>
      <w:r w:rsidRPr="00EB7EAA">
        <w:rPr>
          <w:szCs w:val="24"/>
        </w:rPr>
        <w:t>a</w:t>
      </w:r>
      <w:r w:rsidR="00D17B70">
        <w:rPr>
          <w:szCs w:val="24"/>
        </w:rPr>
        <w:t> 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przypisanie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konkretnej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wartości.</w:t>
      </w:r>
    </w:p>
    <w:p w14:paraId="7E97CEB7" w14:textId="77777777" w:rsidR="00FD66CF" w:rsidRPr="00EB7EAA" w:rsidRDefault="00FD66CF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="00911E45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DGC</w:t>
      </w:r>
      <w:r w:rsidR="00911E45" w:rsidRPr="00EB7EAA">
        <w:rPr>
          <w:szCs w:val="24"/>
        </w:rPr>
        <w:t>.</w:t>
      </w:r>
    </w:p>
    <w:p w14:paraId="20E24F6C" w14:textId="77777777" w:rsidR="006A54DE" w:rsidRPr="00EB7EAA" w:rsidRDefault="00911E45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powyższą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definicją,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równy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cenie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określonej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miary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założeniu,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dochodowa,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DF0D72" w:rsidRPr="00EB7EAA">
        <w:rPr>
          <w:szCs w:val="24"/>
        </w:rPr>
        <w:t>też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nierentowna.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</w:t>
      </w:r>
      <w:r w:rsidR="009D6B96" w:rsidRPr="00EB7EAA">
        <w:rPr>
          <w:szCs w:val="24"/>
        </w:rPr>
        <w:t>osztom,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powyższy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warunek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został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spełniony.</w:t>
      </w:r>
      <w:r w:rsidR="00656606">
        <w:rPr>
          <w:szCs w:val="24"/>
        </w:rPr>
        <w:t xml:space="preserve"> </w:t>
      </w:r>
    </w:p>
    <w:p w14:paraId="250DAF56" w14:textId="77777777"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u w:val="single"/>
        </w:rPr>
      </w:pPr>
      <w:r w:rsidRPr="00EB7EAA">
        <w:rPr>
          <w:b/>
          <w:bCs/>
          <w:sz w:val="28"/>
          <w:szCs w:val="28"/>
          <w:u w:val="single"/>
        </w:rPr>
        <w:t>Sposób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ustalenia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wskaźnika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DGC</w:t>
      </w:r>
    </w:p>
    <w:p w14:paraId="190C4C90" w14:textId="77777777"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Ustalenie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zdyskontowaneg</w:t>
      </w:r>
      <w:r w:rsidR="00917451" w:rsidRPr="00EB7EAA">
        <w:rPr>
          <w:b/>
          <w:szCs w:val="24"/>
        </w:rPr>
        <w:t>o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kosztu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całkowitego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(ZKC)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jaki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trzeba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ponieść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realizację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</w:t>
      </w:r>
      <w:r w:rsidR="00F840CD">
        <w:rPr>
          <w:b/>
          <w:szCs w:val="24"/>
        </w:rPr>
        <w:t> </w:t>
      </w:r>
      <w:r w:rsidRPr="00EB7EAA">
        <w:rPr>
          <w:b/>
          <w:szCs w:val="24"/>
        </w:rPr>
        <w:t>utrzymanie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projektu:</w:t>
      </w:r>
    </w:p>
    <w:p w14:paraId="07E1ED62" w14:textId="77777777" w:rsidR="006A54DE" w:rsidRPr="00EB7EAA" w:rsidRDefault="00BE0AEB" w:rsidP="00D36F68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 wp14:anchorId="1B324984" wp14:editId="733B0406">
            <wp:extent cx="1858010" cy="846455"/>
            <wp:effectExtent l="19050" t="0" r="889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C7D81" w14:textId="77777777" w:rsidR="006D31AF" w:rsidRPr="00EB7EAA" w:rsidRDefault="006D31AF" w:rsidP="002B64EC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proofErr w:type="spellStart"/>
      <w:r w:rsidRPr="00EB7EAA">
        <w:rPr>
          <w:b/>
          <w:bCs/>
          <w:szCs w:val="24"/>
        </w:rPr>
        <w:t>KI</w:t>
      </w:r>
      <w:r w:rsidRPr="002F50D1">
        <w:rPr>
          <w:szCs w:val="24"/>
          <w:vertAlign w:val="subscript"/>
        </w:rPr>
        <w:t>t</w:t>
      </w:r>
      <w:proofErr w:type="spellEnd"/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roku;</w:t>
      </w:r>
      <w:r w:rsidR="00656606">
        <w:rPr>
          <w:b/>
          <w:bCs/>
          <w:szCs w:val="24"/>
        </w:rPr>
        <w:t xml:space="preserve"> </w:t>
      </w:r>
    </w:p>
    <w:p w14:paraId="54477A7B" w14:textId="77777777" w:rsidR="006D31AF" w:rsidRPr="00EB7EAA" w:rsidRDefault="006D31AF" w:rsidP="002B64EC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proofErr w:type="spellStart"/>
      <w:r w:rsidRPr="00EB7EAA">
        <w:rPr>
          <w:b/>
          <w:bCs/>
          <w:szCs w:val="24"/>
        </w:rPr>
        <w:t>KE</w:t>
      </w:r>
      <w:r w:rsidRPr="002F50D1">
        <w:rPr>
          <w:b/>
          <w:bCs/>
          <w:szCs w:val="24"/>
          <w:vertAlign w:val="subscript"/>
        </w:rPr>
        <w:t>t</w:t>
      </w:r>
      <w:proofErr w:type="spellEnd"/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roku;</w:t>
      </w:r>
      <w:r w:rsidR="00656606">
        <w:rPr>
          <w:b/>
          <w:bCs/>
          <w:szCs w:val="24"/>
        </w:rPr>
        <w:t xml:space="preserve"> </w:t>
      </w:r>
    </w:p>
    <w:p w14:paraId="55329880" w14:textId="77777777" w:rsidR="006D31AF" w:rsidRPr="00EB7EAA" w:rsidRDefault="00086A4C" w:rsidP="002B64EC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I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stopa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dyskontowa;</w:t>
      </w:r>
      <w:r w:rsidR="00656606">
        <w:rPr>
          <w:b/>
          <w:bCs/>
          <w:szCs w:val="24"/>
        </w:rPr>
        <w:t xml:space="preserve"> </w:t>
      </w:r>
    </w:p>
    <w:p w14:paraId="1111474F" w14:textId="77777777" w:rsidR="006A54DE" w:rsidRPr="00EB7EAA" w:rsidRDefault="006D31AF" w:rsidP="002B64EC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t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rokiem,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ponosimy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ostatnim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rokiem,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działania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</w:p>
    <w:p w14:paraId="5EE96F40" w14:textId="77777777" w:rsidR="006A54DE" w:rsidRPr="00EB7EAA" w:rsidRDefault="00086A4C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Zdyskontowane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całkowite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(ZKC)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sumą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inwestycyjnych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</w:t>
      </w:r>
      <w:proofErr w:type="spellStart"/>
      <w:r w:rsidRPr="00EB7EAA">
        <w:rPr>
          <w:i/>
          <w:szCs w:val="24"/>
        </w:rPr>
        <w:t>KI</w:t>
      </w:r>
      <w:r w:rsidRPr="00EB7EAA">
        <w:rPr>
          <w:i/>
          <w:szCs w:val="24"/>
          <w:vertAlign w:val="subscript"/>
        </w:rPr>
        <w:t>t</w:t>
      </w:r>
      <w:proofErr w:type="spellEnd"/>
      <w:r w:rsidRPr="00EB7EAA">
        <w:rPr>
          <w:i/>
          <w:szCs w:val="24"/>
        </w:rPr>
        <w:t>)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eksploatacyjnych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</w:t>
      </w:r>
      <w:proofErr w:type="spellStart"/>
      <w:r w:rsidRPr="00EB7EAA">
        <w:rPr>
          <w:i/>
          <w:szCs w:val="24"/>
        </w:rPr>
        <w:t>KE</w:t>
      </w:r>
      <w:r w:rsidRPr="00EB7EAA">
        <w:rPr>
          <w:i/>
          <w:szCs w:val="24"/>
          <w:vertAlign w:val="subscript"/>
        </w:rPr>
        <w:t>t</w:t>
      </w:r>
      <w:proofErr w:type="spellEnd"/>
      <w:r w:rsidRPr="00EB7EAA">
        <w:rPr>
          <w:i/>
          <w:szCs w:val="24"/>
        </w:rPr>
        <w:t>)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i/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majątku,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t</w:t>
      </w:r>
      <w:r w:rsidR="00656606">
        <w:rPr>
          <w:i/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przychodów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(ZP)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sumą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iloczynów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</w:t>
      </w:r>
      <w:proofErr w:type="spellStart"/>
      <w:r w:rsidRPr="00EB7EAA">
        <w:rPr>
          <w:i/>
          <w:szCs w:val="24"/>
        </w:rPr>
        <w:t>EE</w:t>
      </w:r>
      <w:r w:rsidRPr="00EB7EAA">
        <w:rPr>
          <w:i/>
          <w:szCs w:val="24"/>
          <w:vertAlign w:val="subscript"/>
        </w:rPr>
        <w:t>t</w:t>
      </w:r>
      <w:proofErr w:type="spellEnd"/>
      <w:r w:rsidRPr="00EB7EAA">
        <w:rPr>
          <w:i/>
          <w:szCs w:val="24"/>
        </w:rPr>
        <w:t>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(P</w:t>
      </w:r>
      <w:r w:rsidRPr="00EB7EAA">
        <w:rPr>
          <w:i/>
          <w:szCs w:val="24"/>
          <w:vertAlign w:val="subscript"/>
        </w:rPr>
        <w:t>EE</w:t>
      </w:r>
      <w:r w:rsidRPr="00EB7EAA">
        <w:rPr>
          <w:i/>
          <w:szCs w:val="24"/>
        </w:rPr>
        <w:t>)</w:t>
      </w:r>
      <w:r w:rsidRPr="00EB7EAA">
        <w:rPr>
          <w:szCs w:val="24"/>
        </w:rPr>
        <w:t>.</w:t>
      </w:r>
    </w:p>
    <w:p w14:paraId="3C5DC404" w14:textId="77777777" w:rsidR="00333700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Ustalenie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zdyskontowanych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przychodów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(ZP)</w:t>
      </w:r>
      <w:r w:rsidRPr="00EB7EAA">
        <w:rPr>
          <w:szCs w:val="24"/>
        </w:rPr>
        <w:t>:</w:t>
      </w:r>
    </w:p>
    <w:p w14:paraId="74359827" w14:textId="77777777"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Każdego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uzyskamy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3D3A5D" w:rsidRPr="00EB7EAA">
        <w:rPr>
          <w:szCs w:val="24"/>
        </w:rPr>
        <w:t>/miara</w:t>
      </w:r>
      <w:r w:rsidR="00656606">
        <w:rPr>
          <w:szCs w:val="24"/>
        </w:rPr>
        <w:t xml:space="preserve"> </w:t>
      </w:r>
      <w:r w:rsidR="003D3A5D"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="003D3A5D" w:rsidRPr="00EB7EAA">
        <w:rPr>
          <w:szCs w:val="24"/>
        </w:rPr>
        <w:t>(EE),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któremu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przypisujemy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cenę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</w:t>
      </w:r>
      <w:r w:rsidRPr="00EB7EAA">
        <w:rPr>
          <w:sz w:val="16"/>
          <w:szCs w:val="16"/>
        </w:rPr>
        <w:t>EE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jednostkę.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Zakładamy,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stała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</w:p>
    <w:p w14:paraId="471B140B" w14:textId="77777777" w:rsidR="006A54DE" w:rsidRPr="00EB7EAA" w:rsidRDefault="00BE0AEB" w:rsidP="005C28C5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lastRenderedPageBreak/>
        <w:drawing>
          <wp:inline distT="0" distB="0" distL="0" distR="0" wp14:anchorId="3A16476D" wp14:editId="03BEF426">
            <wp:extent cx="1964690" cy="72009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CB7D8" w14:textId="77777777" w:rsidR="00917451" w:rsidRPr="00EB7EAA" w:rsidRDefault="00917451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b/>
          <w:bCs/>
          <w:szCs w:val="24"/>
        </w:rPr>
        <w:t>Ustalenie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„równowagi</w:t>
      </w:r>
      <w:r w:rsidR="005C28C5">
        <w:rPr>
          <w:b/>
          <w:bCs/>
          <w:szCs w:val="24"/>
        </w:rPr>
        <w:t>”</w:t>
      </w:r>
      <w:r w:rsidRPr="00EB7EAA">
        <w:rPr>
          <w:b/>
          <w:bCs/>
          <w:szCs w:val="24"/>
        </w:rPr>
        <w:t>:</w:t>
      </w:r>
    </w:p>
    <w:p w14:paraId="5285CF1B" w14:textId="77777777" w:rsidR="00917451" w:rsidRPr="00EB7EAA" w:rsidRDefault="00DF0D7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koniecznym,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przedsięwzięcie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było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rentowne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to,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żeby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zdyskontowany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strumień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przychodów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był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większy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równy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zdyskontowanemu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strumieniowi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kosztów.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Tak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więc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ustalamy,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jaka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spełnienie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równania.</w:t>
      </w:r>
    </w:p>
    <w:p w14:paraId="72671F8A" w14:textId="77777777" w:rsidR="006A54DE" w:rsidRPr="00EB7EAA" w:rsidRDefault="00BE0AEB" w:rsidP="005C28C5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 wp14:anchorId="4FA8F739" wp14:editId="20211FFF">
            <wp:extent cx="3024000" cy="936000"/>
            <wp:effectExtent l="0" t="0" r="5080" b="0"/>
            <wp:docPr id="7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1DE13" w14:textId="77777777" w:rsidR="006A54DE" w:rsidRPr="00EB7EAA" w:rsidRDefault="00917451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Po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przekształceniu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uzyskujemy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definicję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dynamicznego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kosztu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jednostkowego:</w:t>
      </w:r>
    </w:p>
    <w:p w14:paraId="0921834E" w14:textId="77777777" w:rsidR="006A54DE" w:rsidRPr="00EB7EAA" w:rsidRDefault="00BE0AEB" w:rsidP="00DE0AC0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 wp14:anchorId="31D54EC2" wp14:editId="5F3B2923">
            <wp:extent cx="2498400" cy="1213200"/>
            <wp:effectExtent l="0" t="0" r="0" b="6350"/>
            <wp:docPr id="8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2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6F950" w14:textId="77777777" w:rsidR="009B3F56" w:rsidRPr="00EB7EAA" w:rsidRDefault="009B3F56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DGC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pokazuje,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wyrażony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złotówkach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Dzięki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temu,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projektodawca,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rozważa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najlepszej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uszeregować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najdroższego</w:t>
      </w:r>
      <w:r w:rsidR="008B083E"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pamiętać,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kwestie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jakościowe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były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brane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dzięki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przyjętemu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procesowi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wybierany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najlepszych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jakości.</w:t>
      </w:r>
      <w:r w:rsidR="00656606">
        <w:rPr>
          <w:szCs w:val="24"/>
        </w:rPr>
        <w:t xml:space="preserve"> </w:t>
      </w:r>
    </w:p>
    <w:p w14:paraId="378751D2" w14:textId="77777777" w:rsidR="009B3F56" w:rsidRPr="00EB7EAA" w:rsidRDefault="008B083E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zaznaczy</w:t>
      </w:r>
      <w:r w:rsidR="00ED7579" w:rsidRPr="00EB7EAA">
        <w:rPr>
          <w:szCs w:val="24"/>
        </w:rPr>
        <w:t>ć,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iż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powodzenia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kluczowy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odpowiedniej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miary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rezultatu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obrazować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wiele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F840CD">
        <w:rPr>
          <w:szCs w:val="24"/>
        </w:rPr>
        <w:t> </w:t>
      </w:r>
      <w:r w:rsidRPr="00EB7EAA">
        <w:rPr>
          <w:szCs w:val="24"/>
        </w:rPr>
        <w:t>kluczowym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znaczeniu),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zaś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któryś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mało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istotnych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pobocznych.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odprowadzania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oczyszczania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ścieków,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ilość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oczyszczonych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ścieków,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systemów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wodociągowych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dostarczonej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odbiorców,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kulturowej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liczbę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odwiedzających.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rozbudowie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przebudowie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istniejącej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rozważyć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(opisujących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zmianę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wyniku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inwestycji).</w:t>
      </w:r>
      <w:r w:rsidR="00656606">
        <w:rPr>
          <w:szCs w:val="24"/>
        </w:rPr>
        <w:t xml:space="preserve"> </w:t>
      </w:r>
    </w:p>
    <w:p w14:paraId="5D5AC45F" w14:textId="77777777" w:rsidR="009B3F56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szCs w:val="24"/>
        </w:rPr>
        <w:lastRenderedPageBreak/>
        <w:t>Przyjęta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porównywalność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inwestycji.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Niedopuszczalne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analizowanie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opcji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dobieraniu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każdej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miary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rezultatu.</w:t>
      </w:r>
    </w:p>
    <w:p w14:paraId="7E2C5D9B" w14:textId="77777777" w:rsidR="00ED7579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Dobrą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praktykę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spośród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Oczywiście</w:t>
      </w:r>
      <w:r w:rsidR="009D6B96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wymaga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indywidualnej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wskaźnika.</w:t>
      </w:r>
    </w:p>
    <w:p w14:paraId="070FEF22" w14:textId="77777777" w:rsidR="00917451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Alternatywnie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dobrać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wskaźniki</w:t>
      </w:r>
      <w:r w:rsidR="00656606">
        <w:rPr>
          <w:szCs w:val="24"/>
        </w:rPr>
        <w:t xml:space="preserve"> </w:t>
      </w:r>
      <w:r w:rsidR="0000149B" w:rsidRPr="00EB7EAA">
        <w:rPr>
          <w:szCs w:val="24"/>
        </w:rPr>
        <w:t>rezultatu,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</w:t>
      </w:r>
      <w:r w:rsidR="009D6B96" w:rsidRPr="00EB7EAA">
        <w:rPr>
          <w:szCs w:val="24"/>
        </w:rPr>
        <w:t>d</w:t>
      </w:r>
      <w:r w:rsidRPr="00EB7EAA">
        <w:rPr>
          <w:szCs w:val="24"/>
        </w:rPr>
        <w:t>stawione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uzasadnienie.</w:t>
      </w:r>
    </w:p>
    <w:p w14:paraId="0955AD84" w14:textId="77777777" w:rsidR="00ED7579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szCs w:val="24"/>
        </w:rPr>
        <w:t>A</w:t>
      </w:r>
      <w:r w:rsidR="009D6B96" w:rsidRPr="00EB7EAA">
        <w:rPr>
          <w:szCs w:val="24"/>
        </w:rPr>
        <w:t>nalizę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kosztowej,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podobnie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ekonomiczną</w:t>
      </w:r>
      <w:r w:rsidR="00656606">
        <w:rPr>
          <w:szCs w:val="24"/>
        </w:rPr>
        <w:t xml:space="preserve"> </w:t>
      </w:r>
      <w:r w:rsidR="004C6027" w:rsidRPr="00EB7EAA">
        <w:rPr>
          <w:szCs w:val="24"/>
        </w:rPr>
        <w:t>przeprowadza</w:t>
      </w:r>
      <w:r w:rsidR="00656606">
        <w:rPr>
          <w:szCs w:val="24"/>
        </w:rPr>
        <w:t xml:space="preserve"> </w:t>
      </w:r>
      <w:r w:rsidR="004C602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w</w:t>
      </w:r>
      <w:r w:rsidR="0000149B">
        <w:rPr>
          <w:b/>
          <w:bCs/>
          <w:szCs w:val="24"/>
        </w:rPr>
        <w:t> </w:t>
      </w:r>
      <w:r w:rsidRPr="00EB7EAA">
        <w:rPr>
          <w:b/>
          <w:bCs/>
          <w:szCs w:val="24"/>
        </w:rPr>
        <w:t>cenach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sta</w:t>
      </w:r>
      <w:r w:rsidRPr="00EB7EAA">
        <w:rPr>
          <w:rFonts w:hint="eastAsia"/>
          <w:b/>
          <w:bCs/>
          <w:szCs w:val="24"/>
        </w:rPr>
        <w:t>ł</w:t>
      </w:r>
      <w:r w:rsidRPr="00EB7EAA">
        <w:rPr>
          <w:b/>
          <w:bCs/>
          <w:szCs w:val="24"/>
        </w:rPr>
        <w:t>ych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stosując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stop</w:t>
      </w:r>
      <w:r w:rsidRPr="00EB7EAA">
        <w:rPr>
          <w:rFonts w:hint="eastAsia"/>
          <w:b/>
          <w:bCs/>
          <w:szCs w:val="24"/>
        </w:rPr>
        <w:t>ę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dyskontow</w:t>
      </w:r>
      <w:r w:rsidRPr="00EB7EAA">
        <w:rPr>
          <w:rFonts w:hint="eastAsia"/>
          <w:b/>
          <w:bCs/>
          <w:szCs w:val="24"/>
        </w:rPr>
        <w:t>ą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poziomie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5%</w:t>
      </w:r>
      <w:r w:rsidR="00426A5B" w:rsidRPr="00EB7EAA">
        <w:rPr>
          <w:b/>
          <w:bCs/>
          <w:szCs w:val="24"/>
        </w:rPr>
        <w:t>.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Pozostałe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przyjmowa</w:t>
      </w:r>
      <w:r w:rsidR="00426A5B" w:rsidRPr="00EB7EAA">
        <w:rPr>
          <w:szCs w:val="24"/>
        </w:rPr>
        <w:t>ne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jak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finansowej/</w:t>
      </w:r>
      <w:r w:rsidRPr="00EB7EAA">
        <w:rPr>
          <w:szCs w:val="24"/>
        </w:rPr>
        <w:t>ekonomicznej,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chyba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występuje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wyraźna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zmiany.</w:t>
      </w:r>
    </w:p>
    <w:p w14:paraId="36EE6357" w14:textId="77777777" w:rsidR="006A54DE" w:rsidRPr="00EB7EAA" w:rsidRDefault="00264D87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AEK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14:paraId="7265D7E5" w14:textId="77777777" w:rsidR="00264D87" w:rsidRPr="00EB7EAA" w:rsidRDefault="00542C16" w:rsidP="00DE0AC0">
      <w:pPr>
        <w:pStyle w:val="Default"/>
        <w:keepNext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Interpretacja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DGC.</w:t>
      </w:r>
    </w:p>
    <w:p w14:paraId="48185D7C" w14:textId="77777777" w:rsidR="006A54DE" w:rsidRPr="00EB7EAA" w:rsidRDefault="00542C1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łatwy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zrozumienia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nawet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posługuje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wielkościami,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człowiek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spotyka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dzień.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ktoś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dowiaduje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10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zł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zebranie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oczyszczenie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</w:t>
      </w:r>
      <w:r w:rsidR="00E755BA" w:rsidRPr="00EB7EAA">
        <w:rPr>
          <w:rFonts w:ascii="Calibri" w:hAnsi="Calibri"/>
        </w:rPr>
        <w:t>³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ścieków,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produkuje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miesięcznie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3,5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</w:t>
      </w:r>
      <w:r w:rsidR="00E755BA" w:rsidRPr="00EB7EAA">
        <w:rPr>
          <w:rFonts w:ascii="Calibri" w:hAnsi="Calibri"/>
        </w:rPr>
        <w:t>³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ścieków,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łatwo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wyliczyć,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miesięczne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obsługi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osoby.</w:t>
      </w:r>
    </w:p>
    <w:p w14:paraId="69C72A19" w14:textId="77777777" w:rsidR="006A54DE" w:rsidRPr="00EB7EAA" w:rsidRDefault="005F766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rynkowej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9D6B96" w:rsidRPr="00EB7EAA">
        <w:rPr>
          <w:rFonts w:ascii="Calibri" w:hAnsi="Calibri"/>
        </w:rPr>
        <w:t>go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porównania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interpretować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wprost,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poniżej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przedsiębiorstwo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oznacza,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rentowny.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stwierdzenie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uprawnione,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(trzeba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zbadać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wyliczyć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odpowiednie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więc</w:t>
      </w:r>
      <w:r w:rsidR="009D6B96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porównanie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rynkową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(netto)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jedynie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wyobrażenie,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część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pokrywają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konsumenci.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własność,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argumentem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dyskusji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spełnieniu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„zanieczyszczający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płaci".</w:t>
      </w:r>
    </w:p>
    <w:p w14:paraId="18A6E8EF" w14:textId="77777777" w:rsidR="008F4C11" w:rsidRPr="00EB7EAA" w:rsidRDefault="005F766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patrzeć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sposoby.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przedsiębiorstwa,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osiągnąć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pewien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rozważa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wybór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najlepszej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pozwala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uszeregować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alternatywy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najtańszej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lastRenderedPageBreak/>
        <w:t>najdroższej.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D28E7">
        <w:rPr>
          <w:rFonts w:ascii="Calibri" w:hAnsi="Calibri"/>
        </w:rPr>
        <w:t> 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aspekty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drugorzędne,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sfinansować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przybliżeniu)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drugie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patrzeć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C27AAD">
        <w:rPr>
          <w:rFonts w:ascii="Calibri" w:hAnsi="Calibri"/>
        </w:rPr>
        <w:t> </w:t>
      </w:r>
      <w:r w:rsidRPr="00EB7EAA">
        <w:rPr>
          <w:rFonts w:ascii="Calibri" w:hAnsi="Calibri"/>
        </w:rPr>
        <w:t>perspektywy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traktujemy</w:t>
      </w:r>
      <w:r w:rsidR="00656606">
        <w:rPr>
          <w:rFonts w:ascii="Calibri" w:hAnsi="Calibri"/>
        </w:rPr>
        <w:t xml:space="preserve"> </w:t>
      </w:r>
      <w:r w:rsidR="00C27AAD" w:rsidRPr="00EB7EAA">
        <w:rPr>
          <w:rFonts w:ascii="Calibri" w:hAnsi="Calibri"/>
        </w:rPr>
        <w:t>społeczeństwo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inwestora,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wesprzeć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wybrane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rozważana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grupa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charakteryzujących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jednorodnym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efektem,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społeczeństwo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wspierać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charakteryzują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najniższym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wysokość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wsparcia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Dzięki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temu</w:t>
      </w:r>
      <w:r w:rsidR="009D6B96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pieniędzy,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wyasygnowana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publicznych,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przyniesie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najw</w:t>
      </w:r>
      <w:r w:rsidR="003D3A5D" w:rsidRPr="00EB7EAA">
        <w:rPr>
          <w:rFonts w:ascii="Calibri" w:hAnsi="Calibri"/>
        </w:rPr>
        <w:t>iększy,</w:t>
      </w:r>
      <w:r w:rsidR="00656606">
        <w:rPr>
          <w:rFonts w:ascii="Calibri" w:hAnsi="Calibri"/>
        </w:rPr>
        <w:t xml:space="preserve"> </w:t>
      </w:r>
      <w:r w:rsidR="003D3A5D" w:rsidRPr="00EB7EAA">
        <w:rPr>
          <w:rFonts w:ascii="Calibri" w:hAnsi="Calibri"/>
        </w:rPr>
        <w:t>łączny</w:t>
      </w:r>
      <w:r w:rsidR="00656606">
        <w:rPr>
          <w:rFonts w:ascii="Calibri" w:hAnsi="Calibri"/>
        </w:rPr>
        <w:t xml:space="preserve"> </w:t>
      </w:r>
      <w:r w:rsidR="003D3A5D" w:rsidRPr="00EB7EAA">
        <w:rPr>
          <w:rFonts w:ascii="Calibri" w:hAnsi="Calibri"/>
        </w:rPr>
        <w:t>efekt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</w:rPr>
        <w:t>Czyli</w:t>
      </w:r>
      <w:r w:rsidR="00F15885">
        <w:rPr>
          <w:rFonts w:ascii="Calibri" w:hAnsi="Calibri"/>
          <w:b/>
        </w:rPr>
        <w:t>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niższy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DGC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lepiej.</w:t>
      </w:r>
    </w:p>
    <w:p w14:paraId="5642E939" w14:textId="77777777" w:rsidR="006A54DE" w:rsidRPr="00EB7EAA" w:rsidRDefault="00164610" w:rsidP="00EB7EAA">
      <w:pPr>
        <w:pStyle w:val="Nagwek2"/>
        <w:jc w:val="both"/>
        <w:rPr>
          <w:i/>
        </w:rPr>
      </w:pPr>
      <w:bookmarkStart w:id="24" w:name="_Toc21079591"/>
      <w:r w:rsidRPr="00EB7EAA">
        <w:t>Zastosowane</w:t>
      </w:r>
      <w:r w:rsidR="00656606">
        <w:t xml:space="preserve"> </w:t>
      </w:r>
      <w:r w:rsidRPr="00EB7EAA">
        <w:t>rozwiązanie</w:t>
      </w:r>
      <w:bookmarkEnd w:id="24"/>
      <w:r w:rsidR="00656606">
        <w:t xml:space="preserve"> </w:t>
      </w:r>
    </w:p>
    <w:p w14:paraId="5FFA05B9" w14:textId="77777777" w:rsidR="00F2795C" w:rsidRPr="00EB7EAA" w:rsidRDefault="00164610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podsumowanie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wykonalności,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przyjętego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uzasadnieniem.</w:t>
      </w:r>
      <w:r w:rsidR="00656606">
        <w:rPr>
          <w:sz w:val="24"/>
          <w:szCs w:val="24"/>
        </w:rPr>
        <w:t xml:space="preserve"> </w:t>
      </w:r>
    </w:p>
    <w:p w14:paraId="15BA7821" w14:textId="77777777" w:rsidR="00E755BA" w:rsidRPr="00EB7EAA" w:rsidRDefault="00E755BA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proste,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ponieważ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który:</w:t>
      </w:r>
    </w:p>
    <w:p w14:paraId="2D9F4F60" w14:textId="77777777" w:rsidR="00E755BA" w:rsidRPr="00EB7EAA" w:rsidRDefault="00E755BA" w:rsidP="00265A33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największą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B/C,</w:t>
      </w:r>
    </w:p>
    <w:p w14:paraId="53B4D0FE" w14:textId="77777777" w:rsidR="00E755BA" w:rsidRPr="00EB7EAA" w:rsidRDefault="00E755BA" w:rsidP="00265A33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najniższą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DGC,</w:t>
      </w:r>
    </w:p>
    <w:p w14:paraId="5AC2862D" w14:textId="77777777" w:rsidR="00E97161" w:rsidRPr="00EB7EAA" w:rsidRDefault="00E755BA" w:rsidP="00265A33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wielokryterialnej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najwyższą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sumaryczną.</w:t>
      </w:r>
    </w:p>
    <w:p w14:paraId="73A24762" w14:textId="77777777" w:rsidR="006A54DE" w:rsidRPr="00EB7EAA" w:rsidRDefault="000E303D" w:rsidP="000029BB">
      <w:pPr>
        <w:pStyle w:val="Nagwek1"/>
        <w:numPr>
          <w:ilvl w:val="0"/>
          <w:numId w:val="2"/>
        </w:numPr>
        <w:jc w:val="both"/>
      </w:pPr>
      <w:bookmarkStart w:id="25" w:name="_Toc21079592"/>
      <w:r w:rsidRPr="00EB7EAA">
        <w:t>Analiza</w:t>
      </w:r>
      <w:r w:rsidR="00656606">
        <w:t xml:space="preserve"> </w:t>
      </w:r>
      <w:r w:rsidRPr="00EB7EAA">
        <w:t>finansowa</w:t>
      </w:r>
      <w:bookmarkEnd w:id="25"/>
    </w:p>
    <w:p w14:paraId="33996F0B" w14:textId="77777777" w:rsidR="000E303D" w:rsidRPr="00EB7EAA" w:rsidRDefault="000E303D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Przeprowadzenie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szczególności:</w:t>
      </w:r>
      <w:r w:rsidR="00656606">
        <w:rPr>
          <w:rFonts w:ascii="Calibri" w:hAnsi="Calibri"/>
        </w:rPr>
        <w:t xml:space="preserve"> </w:t>
      </w:r>
    </w:p>
    <w:p w14:paraId="2045B6F7" w14:textId="77777777" w:rsidR="00B06379" w:rsidRPr="00EB7EAA" w:rsidRDefault="00656606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0E303D" w:rsidRPr="00EB7EAA">
        <w:rPr>
          <w:szCs w:val="24"/>
        </w:rPr>
        <w:t>ocenę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finansowej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rentowności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inwestycji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kapitału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krajowego,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poprzez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ustalenie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wartości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wskaźników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efektywności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finansowej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projektu,</w:t>
      </w:r>
      <w:r>
        <w:rPr>
          <w:szCs w:val="24"/>
        </w:rPr>
        <w:t xml:space="preserve"> </w:t>
      </w:r>
    </w:p>
    <w:p w14:paraId="2D88DD86" w14:textId="77777777" w:rsidR="00B06379" w:rsidRPr="00EB7EAA" w:rsidRDefault="000E303D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weryfikację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beneficjenta/operatora,</w:t>
      </w:r>
      <w:r w:rsidR="00656606">
        <w:rPr>
          <w:szCs w:val="24"/>
        </w:rPr>
        <w:t xml:space="preserve"> </w:t>
      </w:r>
    </w:p>
    <w:p w14:paraId="76A73591" w14:textId="77777777" w:rsidR="006A54DE" w:rsidRPr="00EB7EAA" w:rsidRDefault="000E303D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właściwego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(maksymalnego)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(</w:t>
      </w:r>
      <w:r w:rsidR="00534ECF" w:rsidRPr="00EB7EAA">
        <w:t>w</w:t>
      </w:r>
      <w:r w:rsidR="00F15885">
        <w:rPr>
          <w:szCs w:val="24"/>
        </w:rPr>
        <w:t> </w:t>
      </w:r>
      <w:r w:rsidR="00534ECF" w:rsidRPr="00EB7EAA">
        <w:rPr>
          <w:szCs w:val="24"/>
        </w:rPr>
        <w:t>odniesieniu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="00DC6664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="00DC6664">
        <w:rPr>
          <w:szCs w:val="24"/>
        </w:rPr>
        <w:t>ustalana</w:t>
      </w:r>
      <w:r w:rsidR="00656606">
        <w:rPr>
          <w:szCs w:val="24"/>
        </w:rPr>
        <w:t xml:space="preserve"> </w:t>
      </w:r>
      <w:r w:rsidR="00DC6664">
        <w:rPr>
          <w:szCs w:val="24"/>
        </w:rPr>
        <w:t>jest</w:t>
      </w:r>
      <w:r w:rsidR="00656606">
        <w:rPr>
          <w:szCs w:val="24"/>
        </w:rPr>
        <w:t xml:space="preserve"> </w:t>
      </w:r>
      <w:r w:rsidR="00DC6664">
        <w:rPr>
          <w:szCs w:val="24"/>
        </w:rPr>
        <w:t>w</w:t>
      </w:r>
      <w:r w:rsidR="00F15885">
        <w:rPr>
          <w:szCs w:val="24"/>
        </w:rPr>
        <w:t> </w:t>
      </w:r>
      <w:r w:rsidR="00534ECF"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finansowaniu).</w:t>
      </w:r>
      <w:r w:rsidR="00656606">
        <w:rPr>
          <w:rFonts w:ascii="Tahoma" w:eastAsia="Times New Roman" w:hAnsi="Tahoma"/>
          <w:szCs w:val="24"/>
        </w:rPr>
        <w:t xml:space="preserve"> </w:t>
      </w:r>
    </w:p>
    <w:p w14:paraId="07BEFE5B" w14:textId="77777777" w:rsidR="00AE0B87" w:rsidRPr="00EB7EAA" w:rsidRDefault="00AE0B87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m.in.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następujące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działania:</w:t>
      </w:r>
      <w:r w:rsidR="00656606">
        <w:rPr>
          <w:rFonts w:ascii="Calibri" w:hAnsi="Calibri"/>
        </w:rPr>
        <w:t xml:space="preserve"> </w:t>
      </w:r>
    </w:p>
    <w:p w14:paraId="45309424" w14:textId="77777777" w:rsidR="00B06379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określenie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założeń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analizy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finansowej,</w:t>
      </w:r>
      <w:r w:rsidR="00656606">
        <w:rPr>
          <w:rFonts w:cs="Arial"/>
          <w:szCs w:val="24"/>
          <w:lang w:eastAsia="pl-PL"/>
        </w:rPr>
        <w:t xml:space="preserve"> </w:t>
      </w:r>
    </w:p>
    <w:p w14:paraId="73B013EC" w14:textId="77777777" w:rsidR="00B06379" w:rsidRPr="00EB7EAA" w:rsidRDefault="00A15FB3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ustalenie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generuje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przychód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oraz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istnieje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możliwość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jego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obiektywnego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określenia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z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wyprzedzeniem,</w:t>
      </w:r>
      <w:r w:rsidR="00656606">
        <w:rPr>
          <w:rFonts w:cs="Arial"/>
          <w:szCs w:val="24"/>
          <w:lang w:eastAsia="pl-PL"/>
        </w:rPr>
        <w:t xml:space="preserve"> </w:t>
      </w:r>
    </w:p>
    <w:p w14:paraId="44F945B0" w14:textId="77777777" w:rsidR="00B06379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zestawienie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przepływów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pieniężnych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projektu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dla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każdego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roku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analizy,</w:t>
      </w:r>
      <w:r w:rsidR="00656606">
        <w:rPr>
          <w:rFonts w:cs="Arial"/>
          <w:szCs w:val="24"/>
          <w:lang w:eastAsia="pl-PL"/>
        </w:rPr>
        <w:t xml:space="preserve"> </w:t>
      </w:r>
    </w:p>
    <w:p w14:paraId="29F33BA5" w14:textId="77777777" w:rsidR="00061612" w:rsidRPr="00EB7EAA" w:rsidRDefault="00A15FB3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ustalenie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wartość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bieżąca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przychodów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generowanych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przez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przekracza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wartość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bieżącą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kosztów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operacyjnych,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tzn.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jest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projektem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generującym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dochód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–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dotyczy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projektów,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dla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których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istnieje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możliwość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lastRenderedPageBreak/>
        <w:t>obiektywnego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określenia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przychodu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z</w:t>
      </w:r>
      <w:r w:rsidR="00656606">
        <w:rPr>
          <w:rFonts w:cs="Arial"/>
          <w:szCs w:val="24"/>
          <w:lang w:eastAsia="pl-PL"/>
        </w:rPr>
        <w:t xml:space="preserve"> </w:t>
      </w:r>
      <w:r w:rsidR="00AE0B87" w:rsidRPr="00EB7EAA">
        <w:rPr>
          <w:rFonts w:cs="Arial"/>
          <w:szCs w:val="24"/>
          <w:lang w:eastAsia="pl-PL"/>
        </w:rPr>
        <w:t>w</w:t>
      </w:r>
      <w:r w:rsidR="00AE0B87" w:rsidRPr="00EB7EAA">
        <w:rPr>
          <w:szCs w:val="24"/>
        </w:rPr>
        <w:t>yprzedzeniem</w:t>
      </w:r>
      <w:r w:rsidR="00656606">
        <w:rPr>
          <w:szCs w:val="24"/>
        </w:rPr>
        <w:t xml:space="preserve"> </w:t>
      </w:r>
      <w:r w:rsidR="00AE0B87" w:rsidRPr="00EB7EAA">
        <w:rPr>
          <w:szCs w:val="24"/>
        </w:rPr>
        <w:t>(patrz:</w:t>
      </w:r>
      <w:r w:rsidR="00656606">
        <w:rPr>
          <w:szCs w:val="24"/>
        </w:rPr>
        <w:t xml:space="preserve"> </w:t>
      </w:r>
      <w:r w:rsidR="00AE0B87" w:rsidRPr="00EB7EAA">
        <w:rPr>
          <w:szCs w:val="24"/>
        </w:rPr>
        <w:t>sł</w:t>
      </w:r>
      <w:r w:rsidR="00DC6664">
        <w:rPr>
          <w:szCs w:val="24"/>
        </w:rPr>
        <w:t>ownik</w:t>
      </w:r>
      <w:r w:rsidR="00656606">
        <w:rPr>
          <w:szCs w:val="24"/>
        </w:rPr>
        <w:t xml:space="preserve"> </w:t>
      </w:r>
      <w:r w:rsidR="00DC6664">
        <w:rPr>
          <w:szCs w:val="24"/>
        </w:rPr>
        <w:t>pojęć</w:t>
      </w:r>
      <w:r w:rsidR="00656606">
        <w:rPr>
          <w:szCs w:val="24"/>
        </w:rPr>
        <w:t xml:space="preserve"> </w:t>
      </w:r>
      <w:r w:rsidR="00DC6664">
        <w:rPr>
          <w:szCs w:val="24"/>
        </w:rPr>
        <w:t>i</w:t>
      </w:r>
      <w:r w:rsidR="0011182D">
        <w:rPr>
          <w:szCs w:val="24"/>
        </w:rPr>
        <w:t> </w:t>
      </w:r>
      <w:r w:rsidR="00AE0B87" w:rsidRPr="00EB7EAA">
        <w:rPr>
          <w:szCs w:val="24"/>
        </w:rPr>
        <w:t>skrótów,</w:t>
      </w:r>
      <w:r w:rsidR="00656606">
        <w:rPr>
          <w:szCs w:val="24"/>
        </w:rPr>
        <w:t xml:space="preserve"> </w:t>
      </w:r>
      <w:r w:rsidR="00AE0B87" w:rsidRPr="00EB7EAA">
        <w:rPr>
          <w:rFonts w:cs="Arial"/>
          <w:szCs w:val="24"/>
          <w:lang w:eastAsia="pl-PL"/>
        </w:rPr>
        <w:t>definicj</w:t>
      </w:r>
      <w:r w:rsidR="00AE0B87"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="00AE0B87"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="00AE0B87"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="00AE0B87" w:rsidRPr="00EB7EAA">
        <w:rPr>
          <w:szCs w:val="24"/>
        </w:rPr>
        <w:t>dochód)</w:t>
      </w:r>
      <w:r w:rsidR="00061612" w:rsidRPr="00EB7EAA">
        <w:rPr>
          <w:szCs w:val="24"/>
        </w:rPr>
        <w:t>,</w:t>
      </w:r>
      <w:r w:rsidR="00656606">
        <w:rPr>
          <w:szCs w:val="24"/>
        </w:rPr>
        <w:t xml:space="preserve"> </w:t>
      </w:r>
    </w:p>
    <w:p w14:paraId="7343E016" w14:textId="77777777"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poziomu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zryczałtowanych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procentowych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stawek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(dotyczy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dochód,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istnieje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obiektywnego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wyprzedzeniem),</w:t>
      </w:r>
    </w:p>
    <w:p w14:paraId="0DF8A036" w14:textId="77777777"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określenie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źródeł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</w:p>
    <w:p w14:paraId="1626E09B" w14:textId="77777777"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</w:p>
    <w:p w14:paraId="6C835B7E" w14:textId="77777777" w:rsidR="006A54DE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trwałości.</w:t>
      </w:r>
      <w:r w:rsidR="00656606">
        <w:rPr>
          <w:szCs w:val="24"/>
        </w:rPr>
        <w:t xml:space="preserve"> </w:t>
      </w:r>
    </w:p>
    <w:p w14:paraId="0659F207" w14:textId="77777777" w:rsidR="007C5D58" w:rsidRPr="00EB7EAA" w:rsidRDefault="00534ECF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projektów</w:t>
      </w:r>
      <w:r w:rsidR="00656606">
        <w:rPr>
          <w:rFonts w:ascii="Calibri" w:hAnsi="Calibri"/>
          <w:b/>
        </w:rPr>
        <w:t xml:space="preserve"> </w:t>
      </w:r>
      <w:r w:rsidR="0011182D" w:rsidRPr="00EB7EAA">
        <w:rPr>
          <w:rFonts w:ascii="Calibri" w:hAnsi="Calibri"/>
          <w:b/>
        </w:rPr>
        <w:t>nie</w:t>
      </w:r>
      <w:r w:rsidR="0011182D">
        <w:rPr>
          <w:rFonts w:ascii="Calibri" w:hAnsi="Calibri"/>
          <w:b/>
        </w:rPr>
        <w:t>generujących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dochodu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</w:t>
      </w:r>
      <w:r w:rsidR="00A302D2" w:rsidRPr="00EB7EAA">
        <w:rPr>
          <w:rFonts w:ascii="Calibri" w:hAnsi="Calibri"/>
          <w:b/>
        </w:rPr>
        <w:t>m.in.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całkowity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kwalifikowalny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koszt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przed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zastosowaniem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art.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61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ust.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6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rozporządzenia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nr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1303/2013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przekracza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000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000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EUR</w:t>
      </w:r>
      <w:r w:rsidRPr="00EB7EAA">
        <w:rPr>
          <w:rFonts w:ascii="Calibri" w:hAnsi="Calibri"/>
          <w:b/>
        </w:rPr>
        <w:t>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="00B06379" w:rsidRPr="00EB7EAA">
        <w:rPr>
          <w:rFonts w:ascii="Calibri" w:hAnsi="Calibri"/>
          <w:b/>
        </w:rPr>
        <w:t>projektów</w:t>
      </w:r>
      <w:r w:rsidR="00656606">
        <w:rPr>
          <w:rFonts w:ascii="Calibri" w:hAnsi="Calibri"/>
          <w:b/>
        </w:rPr>
        <w:t xml:space="preserve"> </w:t>
      </w:r>
      <w:r w:rsidR="0011182D" w:rsidRPr="00EB7EAA">
        <w:rPr>
          <w:rFonts w:ascii="Calibri" w:hAnsi="Calibri"/>
          <w:b/>
        </w:rPr>
        <w:t>nie</w:t>
      </w:r>
      <w:r w:rsidR="0011182D">
        <w:rPr>
          <w:rFonts w:ascii="Calibri" w:hAnsi="Calibri"/>
          <w:b/>
        </w:rPr>
        <w:t>generujących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przychodów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można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zastosować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tzw.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uproszczoną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finansową</w:t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ograniczyłaby</w:t>
      </w:r>
      <w:r w:rsidR="00656606">
        <w:rPr>
          <w:rFonts w:ascii="Calibri" w:hAnsi="Calibri"/>
        </w:rPr>
        <w:t xml:space="preserve"> </w:t>
      </w:r>
      <w:r w:rsidR="00015A1F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prezentacji:</w:t>
      </w:r>
      <w:r w:rsidR="00656606">
        <w:rPr>
          <w:rFonts w:ascii="Calibri" w:hAnsi="Calibri"/>
        </w:rPr>
        <w:t xml:space="preserve"> </w:t>
      </w:r>
    </w:p>
    <w:p w14:paraId="43A6B6C2" w14:textId="77777777"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planu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nakładów,</w:t>
      </w:r>
      <w:r w:rsidR="00656606">
        <w:rPr>
          <w:rFonts w:ascii="Calibri" w:hAnsi="Calibri"/>
        </w:rPr>
        <w:t xml:space="preserve"> </w:t>
      </w:r>
    </w:p>
    <w:p w14:paraId="6DBDFD80" w14:textId="77777777"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źródeł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finansowania,</w:t>
      </w:r>
      <w:r w:rsidR="00656606">
        <w:rPr>
          <w:rFonts w:ascii="Calibri" w:hAnsi="Calibri"/>
        </w:rPr>
        <w:t xml:space="preserve"> </w:t>
      </w:r>
    </w:p>
    <w:p w14:paraId="2CB30D37" w14:textId="77777777"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kos</w:t>
      </w:r>
      <w:r w:rsidR="007C5D58" w:rsidRPr="00EB7EAA">
        <w:rPr>
          <w:rFonts w:ascii="Calibri" w:hAnsi="Calibri"/>
        </w:rPr>
        <w:t>ztów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operacyjnych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projektu,</w:t>
      </w:r>
    </w:p>
    <w:p w14:paraId="6C0EB83E" w14:textId="77777777" w:rsidR="00534ECF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weryfikacji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projektu.</w:t>
      </w:r>
    </w:p>
    <w:p w14:paraId="0BBF0462" w14:textId="77777777" w:rsidR="006A54DE" w:rsidRPr="00EB7EAA" w:rsidRDefault="00B10E31" w:rsidP="00EB7EAA">
      <w:pPr>
        <w:pStyle w:val="Nagwek2"/>
        <w:jc w:val="both"/>
        <w:rPr>
          <w:i/>
        </w:rPr>
      </w:pPr>
      <w:bookmarkStart w:id="26" w:name="_Toc21079593"/>
      <w:r w:rsidRPr="00EB7EAA">
        <w:t>Nakłady</w:t>
      </w:r>
      <w:r w:rsidR="00656606">
        <w:t xml:space="preserve"> </w:t>
      </w:r>
      <w:r w:rsidRPr="00EB7EAA">
        <w:t>inwestycyjne</w:t>
      </w:r>
      <w:bookmarkEnd w:id="26"/>
      <w:r w:rsidR="00656606">
        <w:t xml:space="preserve"> </w:t>
      </w:r>
    </w:p>
    <w:p w14:paraId="3A17DFC5" w14:textId="77777777" w:rsidR="006804C0" w:rsidRPr="00EB7EAA" w:rsidRDefault="00B10E3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41F80" w:rsidRPr="00EB7EAA">
        <w:rPr>
          <w:sz w:val="24"/>
          <w:szCs w:val="24"/>
        </w:rPr>
        <w:t>pod</w:t>
      </w:r>
      <w:r w:rsidRPr="00EB7EAA">
        <w:rPr>
          <w:sz w:val="24"/>
          <w:szCs w:val="24"/>
        </w:rPr>
        <w:t>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harmonogram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</w:t>
      </w:r>
      <w:r w:rsidR="005E419B" w:rsidRPr="00EB7EAA">
        <w:rPr>
          <w:sz w:val="24"/>
          <w:szCs w:val="24"/>
        </w:rPr>
        <w:t>cji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ujęciu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rocznym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pozycji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wydatków</w:t>
      </w:r>
      <w:r w:rsidR="005A304D" w:rsidRPr="00EB7EAA">
        <w:rPr>
          <w:sz w:val="24"/>
          <w:szCs w:val="24"/>
        </w:rPr>
        <w:t>/kosztów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netto,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VAT,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podatek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VAT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brutto.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Harmonogram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5E419B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="00AA53D7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niekwalifikowalne,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wskazując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jednoznaczną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kategorii.</w:t>
      </w:r>
      <w:r w:rsidR="00656606">
        <w:rPr>
          <w:sz w:val="24"/>
          <w:szCs w:val="24"/>
        </w:rPr>
        <w:t xml:space="preserve"> </w:t>
      </w:r>
    </w:p>
    <w:p w14:paraId="40F05CF0" w14:textId="77777777" w:rsidR="00B10E31" w:rsidRPr="00EB7EAA" w:rsidRDefault="00F0777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posłużyć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się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Harmonogram</w:t>
      </w:r>
      <w:r w:rsidR="006804C0" w:rsidRPr="00EB7EAA">
        <w:rPr>
          <w:i/>
          <w:sz w:val="24"/>
          <w:szCs w:val="24"/>
        </w:rPr>
        <w:t>em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ponoszenia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wydatków/kosztów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kwalifikowalnych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niekwalifikowalnych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projekcie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zawarty</w:t>
      </w:r>
      <w:r w:rsidR="006804C0" w:rsidRPr="00EB7EAA">
        <w:rPr>
          <w:sz w:val="24"/>
          <w:szCs w:val="24"/>
        </w:rPr>
        <w:t>m</w:t>
      </w:r>
      <w:r w:rsidR="00656606">
        <w:rPr>
          <w:sz w:val="24"/>
          <w:szCs w:val="24"/>
        </w:rPr>
        <w:t xml:space="preserve"> </w:t>
      </w:r>
      <w:r w:rsidR="006F1D0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proofErr w:type="spellStart"/>
      <w:r w:rsidR="006F1D0F" w:rsidRPr="00EB7EAA">
        <w:rPr>
          <w:sz w:val="24"/>
          <w:szCs w:val="24"/>
        </w:rPr>
        <w:t>WoD</w:t>
      </w:r>
      <w:proofErr w:type="spellEnd"/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stanowiący</w:t>
      </w:r>
      <w:r w:rsidR="006804C0" w:rsidRPr="00EB7EAA">
        <w:rPr>
          <w:sz w:val="24"/>
          <w:szCs w:val="24"/>
        </w:rPr>
        <w:t>m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załącznik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niego</w:t>
      </w:r>
      <w:r w:rsidR="006804C0" w:rsidRPr="00EB7EAA">
        <w:rPr>
          <w:sz w:val="24"/>
          <w:szCs w:val="24"/>
        </w:rPr>
        <w:t>.</w:t>
      </w:r>
    </w:p>
    <w:p w14:paraId="602A2AE4" w14:textId="77777777" w:rsidR="00B10E31" w:rsidRPr="00EB7EAA" w:rsidRDefault="000D5F65" w:rsidP="00EB7EAA">
      <w:pPr>
        <w:pStyle w:val="Bezodstpw"/>
        <w:spacing w:line="276" w:lineRule="auto"/>
        <w:jc w:val="both"/>
        <w:rPr>
          <w:rFonts w:cs="Verdana"/>
          <w:sz w:val="24"/>
          <w:szCs w:val="24"/>
          <w:lang w:eastAsia="pl-PL"/>
        </w:rPr>
      </w:pPr>
      <w:r w:rsidRPr="00EB7EAA">
        <w:rPr>
          <w:rFonts w:cs="Verdana"/>
          <w:sz w:val="24"/>
          <w:szCs w:val="24"/>
          <w:lang w:eastAsia="pl-PL"/>
        </w:rPr>
        <w:t>Dane</w:t>
      </w:r>
      <w:r w:rsidR="005E419B" w:rsidRPr="00EB7EAA">
        <w:rPr>
          <w:rFonts w:cs="Verdana"/>
          <w:sz w:val="24"/>
          <w:szCs w:val="24"/>
          <w:lang w:eastAsia="pl-PL"/>
        </w:rPr>
        <w:t>,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dot.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nakładów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inwestycyjnych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prezentowane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SW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i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proofErr w:type="spellStart"/>
      <w:r w:rsidRPr="00EB7EAA">
        <w:rPr>
          <w:rFonts w:cs="Verdana"/>
          <w:sz w:val="24"/>
          <w:szCs w:val="24"/>
          <w:lang w:eastAsia="pl-PL"/>
        </w:rPr>
        <w:t>WoD</w:t>
      </w:r>
      <w:proofErr w:type="spellEnd"/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muszą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być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tożsame.</w:t>
      </w:r>
      <w:r w:rsidR="00656606">
        <w:rPr>
          <w:rFonts w:cs="Verdana"/>
          <w:sz w:val="24"/>
          <w:szCs w:val="24"/>
          <w:lang w:eastAsia="pl-PL"/>
        </w:rPr>
        <w:t xml:space="preserve"> </w:t>
      </w:r>
    </w:p>
    <w:p w14:paraId="4CBC6683" w14:textId="77777777" w:rsidR="006A54DE" w:rsidRPr="00EB7EAA" w:rsidRDefault="0080373F" w:rsidP="00EB7EAA">
      <w:pPr>
        <w:pStyle w:val="Nagwek2"/>
        <w:jc w:val="both"/>
        <w:rPr>
          <w:i/>
        </w:rPr>
      </w:pPr>
      <w:bookmarkStart w:id="27" w:name="_Toc21079594"/>
      <w:r w:rsidRPr="00EB7EAA">
        <w:t>Ogólna</w:t>
      </w:r>
      <w:r w:rsidR="00656606">
        <w:t xml:space="preserve"> </w:t>
      </w:r>
      <w:r w:rsidRPr="00EB7EAA">
        <w:t>metodyka</w:t>
      </w:r>
      <w:r w:rsidR="00656606">
        <w:t xml:space="preserve"> </w:t>
      </w:r>
      <w:r w:rsidRPr="00EB7EAA">
        <w:t>przeprowadzania</w:t>
      </w:r>
      <w:r w:rsidR="00656606">
        <w:t xml:space="preserve"> </w:t>
      </w:r>
      <w:r w:rsidRPr="00EB7EAA">
        <w:t>analizy</w:t>
      </w:r>
      <w:r w:rsidR="00656606">
        <w:t xml:space="preserve"> </w:t>
      </w:r>
      <w:r w:rsidRPr="00EB7EAA">
        <w:t>finansowej</w:t>
      </w:r>
      <w:bookmarkEnd w:id="27"/>
      <w:r w:rsidR="00656606">
        <w:t xml:space="preserve"> </w:t>
      </w:r>
    </w:p>
    <w:p w14:paraId="72B588D4" w14:textId="77777777" w:rsidR="00905F67" w:rsidRPr="00EB7EAA" w:rsidRDefault="0080373F" w:rsidP="00EB7EAA">
      <w:pPr>
        <w:jc w:val="both"/>
        <w:rPr>
          <w:szCs w:val="24"/>
        </w:rPr>
      </w:pP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(DCF)</w:t>
      </w:r>
      <w:r w:rsidR="00905F67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która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charakteryzuje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następującymi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cechami:</w:t>
      </w:r>
    </w:p>
    <w:p w14:paraId="394F13AB" w14:textId="77777777"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obejmuje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skonsolidowaną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jednocześnie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właściciela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gospodarczego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eksploatującego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(operatora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odrębnymi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podmiotami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skonsolidowanej);</w:t>
      </w:r>
      <w:r w:rsidR="00656606">
        <w:rPr>
          <w:rFonts w:ascii="Calibri" w:hAnsi="Calibri"/>
        </w:rPr>
        <w:t xml:space="preserve"> </w:t>
      </w:r>
    </w:p>
    <w:p w14:paraId="29B25B44" w14:textId="77777777"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zasady,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wyłącznie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kwotę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wypłacaną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otrzymywaną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</w:t>
      </w:r>
      <w:r w:rsidR="00161F89" w:rsidRPr="00EB7EAA">
        <w:rPr>
          <w:rFonts w:ascii="Calibri" w:hAnsi="Calibri"/>
        </w:rPr>
        <w:t>t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(wyjątek,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patrz: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przypis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5</w:t>
      </w:r>
      <w:r w:rsidRPr="00EB7EAA">
        <w:rPr>
          <w:rFonts w:ascii="Calibri" w:hAnsi="Calibri"/>
        </w:rPr>
        <w:t>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rezultacie,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niepieniężne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pozycje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rachunkowe,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B44BD7">
        <w:rPr>
          <w:rFonts w:ascii="Calibri" w:hAnsi="Calibri"/>
          <w:b/>
        </w:rPr>
        <w:t>amortyzacja</w:t>
      </w:r>
      <w:r w:rsidR="00B44BD7">
        <w:rPr>
          <w:rStyle w:val="Odwoanieprzypisudolnego"/>
          <w:rFonts w:ascii="Calibri" w:hAnsi="Calibri"/>
          <w:b/>
        </w:rPr>
        <w:footnoteReference w:id="17"/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mogą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przedmiotem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finansowej;</w:t>
      </w:r>
      <w:r w:rsidR="00656606">
        <w:rPr>
          <w:rFonts w:ascii="Calibri" w:hAnsi="Calibri"/>
        </w:rPr>
        <w:t xml:space="preserve"> </w:t>
      </w:r>
    </w:p>
    <w:p w14:paraId="3A6418DE" w14:textId="77777777"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dokonane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11182D">
        <w:rPr>
          <w:rFonts w:ascii="Calibri" w:hAnsi="Calibri"/>
        </w:rPr>
        <w:t> </w:t>
      </w:r>
      <w:r w:rsidRPr="00EB7EAA">
        <w:rPr>
          <w:rFonts w:ascii="Calibri" w:hAnsi="Calibri"/>
        </w:rPr>
        <w:t>ujęte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(metoda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kasowa).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Wyjątek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poniesione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11182D">
        <w:rPr>
          <w:rFonts w:ascii="Calibri" w:hAnsi="Calibri"/>
        </w:rPr>
        <w:t> </w:t>
      </w:r>
      <w:r w:rsidRPr="00EB7EAA">
        <w:rPr>
          <w:rFonts w:ascii="Calibri" w:hAnsi="Calibri"/>
        </w:rPr>
        <w:t>wartościach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niezdyskontowanych;</w:t>
      </w:r>
      <w:r w:rsidR="00656606">
        <w:rPr>
          <w:rFonts w:ascii="Calibri" w:hAnsi="Calibri"/>
        </w:rPr>
        <w:t xml:space="preserve"> </w:t>
      </w:r>
    </w:p>
    <w:p w14:paraId="2D1ADC55" w14:textId="77777777"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ekonomicznej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użyteczności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aktywów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przekracza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przyjęty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rezydualnej);</w:t>
      </w:r>
      <w:r w:rsidR="00656606">
        <w:rPr>
          <w:rFonts w:ascii="Calibri" w:hAnsi="Calibri"/>
        </w:rPr>
        <w:t xml:space="preserve"> </w:t>
      </w:r>
    </w:p>
    <w:p w14:paraId="7A8380FE" w14:textId="77777777" w:rsidR="006A54DE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pieniądza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sumowaniu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D405BC">
        <w:rPr>
          <w:rFonts w:ascii="Calibri" w:hAnsi="Calibri"/>
        </w:rPr>
        <w:t> </w:t>
      </w:r>
      <w:r w:rsidRPr="00EB7EAA">
        <w:rPr>
          <w:rFonts w:ascii="Calibri" w:hAnsi="Calibri"/>
        </w:rPr>
        <w:t>różnych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latach.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Przyszłe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uzyskania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bieżącej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pomocą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współczynnika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dyskontowego,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którego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wielkość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ustalana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użyciu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stopy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przyjętej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celów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przeprowadzenia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według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metody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DCF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i</w:t>
      </w:r>
      <w:r w:rsidR="00A16C63">
        <w:rPr>
          <w:rFonts w:ascii="Calibri" w:hAnsi="Calibri"/>
        </w:rPr>
        <w:t> </w:t>
      </w:r>
      <w:r w:rsidR="0083650C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dyskontowania).</w:t>
      </w:r>
      <w:r w:rsidR="00656606">
        <w:rPr>
          <w:rFonts w:ascii="Calibri" w:hAnsi="Calibri"/>
        </w:rPr>
        <w:t xml:space="preserve"> </w:t>
      </w:r>
    </w:p>
    <w:p w14:paraId="21F8817E" w14:textId="77777777" w:rsidR="006A54DE" w:rsidRPr="00EB7EAA" w:rsidRDefault="006A340F" w:rsidP="00EB7EAA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EB7EAA">
        <w:rPr>
          <w:sz w:val="24"/>
          <w:szCs w:val="24"/>
          <w:lang w:eastAsia="pl-PL"/>
        </w:rPr>
        <w:t>W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zależności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od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kategorii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inwestycji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analizę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finansową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przeprowadza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się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standardową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lub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złożoną.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Założenia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niezbędne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do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sporządzenia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analizy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finansowej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wraz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metodologią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wyboru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odpowiedniej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zostały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zawarte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</w:t>
      </w:r>
      <w:r w:rsidR="00A16C63">
        <w:rPr>
          <w:sz w:val="24"/>
          <w:szCs w:val="24"/>
          <w:lang w:eastAsia="pl-PL"/>
        </w:rPr>
        <w:t> </w:t>
      </w:r>
      <w:r w:rsidRPr="00EB7EAA">
        <w:rPr>
          <w:sz w:val="24"/>
          <w:szCs w:val="24"/>
          <w:lang w:eastAsia="pl-PL"/>
        </w:rPr>
        <w:t>podrozdziale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7.5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Wytycznych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zakresie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zagadnień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związanych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przygotowaniem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inwestycyjnych,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tym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generujących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dochód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hybrydowych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na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lata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2014</w:t>
      </w:r>
      <w:r w:rsidR="00656606">
        <w:rPr>
          <w:i/>
          <w:sz w:val="24"/>
          <w:szCs w:val="24"/>
          <w:lang w:eastAsia="pl-PL"/>
        </w:rPr>
        <w:t xml:space="preserve"> </w:t>
      </w:r>
      <w:r w:rsidR="00415E30">
        <w:rPr>
          <w:i/>
          <w:sz w:val="24"/>
          <w:szCs w:val="24"/>
          <w:lang w:eastAsia="pl-PL"/>
        </w:rPr>
        <w:t>–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2020</w:t>
      </w:r>
      <w:r w:rsidRPr="00EB7EAA">
        <w:rPr>
          <w:sz w:val="24"/>
          <w:szCs w:val="24"/>
          <w:lang w:eastAsia="pl-PL"/>
        </w:rPr>
        <w:t>,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zatwierdzonych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przez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Ministra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Infrastruktury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Rozwoju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opublikowanych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na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stronie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tegoż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ministerstwa.</w:t>
      </w:r>
    </w:p>
    <w:p w14:paraId="558C83EE" w14:textId="77777777" w:rsidR="00A302D2" w:rsidRPr="00EB7EAA" w:rsidRDefault="001A653F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a</w:t>
      </w:r>
      <w:r w:rsidR="00A16C63">
        <w:rPr>
          <w:rFonts w:ascii="Calibri" w:hAnsi="Calibri"/>
          <w:b/>
        </w:rPr>
        <w:t> </w:t>
      </w:r>
      <w:r w:rsidR="0096756C"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finansowej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lastRenderedPageBreak/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14:paraId="0AAE3468" w14:textId="77777777" w:rsidR="006A54DE" w:rsidRPr="00EB7EAA" w:rsidRDefault="00A302D2" w:rsidP="00EB7EAA">
      <w:pPr>
        <w:pStyle w:val="Nagwek2"/>
        <w:jc w:val="both"/>
        <w:rPr>
          <w:i/>
        </w:rPr>
      </w:pPr>
      <w:bookmarkStart w:id="28" w:name="_Toc21079595"/>
      <w:r w:rsidRPr="00EB7EAA">
        <w:t>Założenia</w:t>
      </w:r>
      <w:r w:rsidR="00656606">
        <w:t xml:space="preserve"> </w:t>
      </w:r>
      <w:r w:rsidRPr="00EB7EAA">
        <w:t>do</w:t>
      </w:r>
      <w:r w:rsidR="00656606">
        <w:t xml:space="preserve"> </w:t>
      </w:r>
      <w:r w:rsidR="00281277" w:rsidRPr="00EB7EAA">
        <w:t>analizy</w:t>
      </w:r>
      <w:r w:rsidR="00656606">
        <w:t xml:space="preserve"> </w:t>
      </w:r>
      <w:r w:rsidR="00281277" w:rsidRPr="00EB7EAA">
        <w:t>finansowej</w:t>
      </w:r>
      <w:bookmarkEnd w:id="28"/>
      <w:r w:rsidR="00656606">
        <w:t xml:space="preserve"> </w:t>
      </w:r>
    </w:p>
    <w:p w14:paraId="581D1F52" w14:textId="77777777" w:rsidR="007C4A0E" w:rsidRPr="00EB7EAA" w:rsidRDefault="007C4A0E" w:rsidP="00EB7EAA">
      <w:pPr>
        <w:pStyle w:val="Bezodstpw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założeniach,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spójnych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sektorze:</w:t>
      </w:r>
      <w:r w:rsidR="00656606">
        <w:rPr>
          <w:sz w:val="24"/>
          <w:szCs w:val="24"/>
        </w:rPr>
        <w:t xml:space="preserve"> </w:t>
      </w:r>
    </w:p>
    <w:p w14:paraId="704766B3" w14:textId="77777777" w:rsidR="005C00E5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uzasadnione,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</w:t>
      </w:r>
      <w:r w:rsidR="005C00E5" w:rsidRPr="00EB7EAA">
        <w:rPr>
          <w:rFonts w:ascii="Calibri" w:hAnsi="Calibri"/>
        </w:rPr>
        <w:t>;</w:t>
      </w:r>
      <w:r w:rsidR="00656606">
        <w:rPr>
          <w:rFonts w:ascii="Calibri" w:hAnsi="Calibri"/>
        </w:rPr>
        <w:t xml:space="preserve"> </w:t>
      </w:r>
    </w:p>
    <w:p w14:paraId="7E3BE007" w14:textId="77777777" w:rsidR="005C00E5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sporządzona:</w:t>
      </w:r>
      <w:r w:rsidR="00656606">
        <w:rPr>
          <w:rFonts w:ascii="Calibri" w:hAnsi="Calibri"/>
        </w:rPr>
        <w:t xml:space="preserve"> </w:t>
      </w:r>
    </w:p>
    <w:p w14:paraId="5A0E6840" w14:textId="77777777" w:rsidR="009356A8" w:rsidRPr="00EB7EAA" w:rsidRDefault="007C4A0E" w:rsidP="00265A33">
      <w:pPr>
        <w:pStyle w:val="Default"/>
        <w:numPr>
          <w:ilvl w:val="0"/>
          <w:numId w:val="40"/>
        </w:numPr>
        <w:ind w:left="993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kwalifikowalnego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odzyskany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F779D5">
        <w:rPr>
          <w:rFonts w:ascii="Calibri" w:hAnsi="Calibri"/>
        </w:rPr>
        <w:t> </w:t>
      </w:r>
      <w:r w:rsidRPr="00EB7EAA">
        <w:rPr>
          <w:rFonts w:ascii="Calibri" w:hAnsi="Calibri"/>
        </w:rPr>
        <w:t>przepisy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</w:p>
    <w:p w14:paraId="75C234E4" w14:textId="77777777" w:rsidR="009356A8" w:rsidRPr="00EB7EAA" w:rsidRDefault="007C4A0E" w:rsidP="00265A33">
      <w:pPr>
        <w:pStyle w:val="Default"/>
        <w:numPr>
          <w:ilvl w:val="0"/>
          <w:numId w:val="40"/>
        </w:numPr>
        <w:ind w:left="993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brutto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kwalifikowalny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odzyskany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przepisy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niekwalifikowalny,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rzeczywisty</w:t>
      </w:r>
      <w:r w:rsidR="00656606">
        <w:rPr>
          <w:rFonts w:ascii="Calibri" w:hAnsi="Calibri"/>
        </w:rPr>
        <w:t xml:space="preserve"> </w:t>
      </w:r>
      <w:proofErr w:type="spellStart"/>
      <w:r w:rsidRPr="00EB7EAA">
        <w:rPr>
          <w:rFonts w:ascii="Calibri" w:hAnsi="Calibri"/>
        </w:rPr>
        <w:t>nieodzyskiwalny</w:t>
      </w:r>
      <w:proofErr w:type="spellEnd"/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ponoszącego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wyodrębniony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</w:t>
      </w:r>
      <w:r w:rsidR="009356A8" w:rsidRPr="00EB7EAA">
        <w:rPr>
          <w:rFonts w:ascii="Calibri" w:hAnsi="Calibri"/>
        </w:rPr>
        <w:t>obna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pozycja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finansowej;</w:t>
      </w:r>
      <w:r w:rsidR="00656606">
        <w:rPr>
          <w:rFonts w:ascii="Calibri" w:hAnsi="Calibri"/>
        </w:rPr>
        <w:t xml:space="preserve"> </w:t>
      </w:r>
    </w:p>
    <w:p w14:paraId="36740045" w14:textId="77777777"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podatki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bezpośrednie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(m.in.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dochodowy)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jedynie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trwałości;</w:t>
      </w:r>
      <w:r w:rsidR="00656606">
        <w:rPr>
          <w:rFonts w:ascii="Calibri" w:hAnsi="Calibri"/>
        </w:rPr>
        <w:t xml:space="preserve"> </w:t>
      </w:r>
    </w:p>
    <w:p w14:paraId="1B3B3135" w14:textId="77777777"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zaleca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dwóch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(wariantów)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makroekonomicznych: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pesymistycznego.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wykorzystywany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całej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natomiast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pesymistyczny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użyty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ryzyka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wrażliwości.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trakcie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</w:t>
      </w:r>
      <w:r w:rsidR="009356A8" w:rsidRPr="00EB7EAA">
        <w:rPr>
          <w:rFonts w:ascii="Calibri" w:hAnsi="Calibri"/>
        </w:rPr>
        <w:t>porządzania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przepływów/</w:t>
      </w:r>
      <w:r w:rsidRPr="00EB7EAA">
        <w:rPr>
          <w:rFonts w:ascii="Calibri" w:hAnsi="Calibri"/>
        </w:rPr>
        <w:t>projekcji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korzystać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rozwoju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gospodarczego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Polski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zamieszczonych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stronie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internetowej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Ministerstwa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Rozwoju</w:t>
      </w:r>
      <w:r w:rsidR="005C00E5"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</w:p>
    <w:p w14:paraId="48DB8570" w14:textId="77777777" w:rsidR="009356A8" w:rsidRPr="00EB7EAA" w:rsidRDefault="007C4A0E" w:rsidP="00EB7EAA">
      <w:pPr>
        <w:pStyle w:val="Default"/>
        <w:ind w:left="720"/>
        <w:jc w:val="both"/>
        <w:rPr>
          <w:rFonts w:ascii="Calibri" w:hAnsi="Calibri"/>
        </w:rPr>
      </w:pP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wykraczającego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zawartej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dokumencie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ostatniego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5C00E5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zalecenia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sektorowe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Niebieskie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księgi)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inaczej.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podlegały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aktualizacji.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stawek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stawek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obowiązującym</w:t>
      </w:r>
      <w:r w:rsidR="005C00E5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przepisami.</w:t>
      </w:r>
      <w:r w:rsidR="00656606">
        <w:rPr>
          <w:rFonts w:ascii="Calibri" w:hAnsi="Calibri"/>
        </w:rPr>
        <w:t xml:space="preserve"> </w:t>
      </w:r>
    </w:p>
    <w:p w14:paraId="289AE298" w14:textId="77777777" w:rsidR="009356A8" w:rsidRPr="00EB7EAA" w:rsidRDefault="007C4A0E" w:rsidP="00EB7EAA">
      <w:pPr>
        <w:pStyle w:val="Default"/>
        <w:ind w:left="720"/>
        <w:jc w:val="both"/>
        <w:rPr>
          <w:rFonts w:ascii="Calibri" w:hAnsi="Calibri"/>
        </w:rPr>
      </w:pPr>
      <w:r w:rsidRPr="00EB7EAA">
        <w:rPr>
          <w:rFonts w:ascii="Calibri" w:hAnsi="Calibri"/>
        </w:rPr>
        <w:t>Podczas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wziąć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uwagę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założeń,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swoje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kontekście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specyfiki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sektora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992B38">
        <w:rPr>
          <w:rFonts w:ascii="Calibri" w:hAnsi="Calibri"/>
        </w:rPr>
        <w:t> </w:t>
      </w:r>
      <w:r w:rsidRPr="00EB7EAA">
        <w:rPr>
          <w:rFonts w:ascii="Calibri" w:hAnsi="Calibri"/>
        </w:rPr>
        <w:t>także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beneficjenta/operatora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istotne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lastRenderedPageBreak/>
        <w:t>już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przedmiotem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zamiast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pochodzących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scenariuszy;</w:t>
      </w:r>
      <w:r w:rsidR="00656606">
        <w:rPr>
          <w:rFonts w:ascii="Calibri" w:hAnsi="Calibri"/>
        </w:rPr>
        <w:t xml:space="preserve"> </w:t>
      </w:r>
    </w:p>
    <w:p w14:paraId="58F3B0F1" w14:textId="77777777"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przyjęta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dofinansowania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funduszy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wynosi:</w:t>
      </w:r>
      <w:r w:rsidR="00656606">
        <w:rPr>
          <w:rFonts w:ascii="Calibri" w:hAnsi="Calibri"/>
        </w:rPr>
        <w:t xml:space="preserve"> </w:t>
      </w:r>
    </w:p>
    <w:p w14:paraId="17D7F195" w14:textId="77777777" w:rsidR="009356A8" w:rsidRPr="00EB7EAA" w:rsidRDefault="007C4A0E" w:rsidP="00265A33">
      <w:pPr>
        <w:pStyle w:val="Default"/>
        <w:numPr>
          <w:ilvl w:val="0"/>
          <w:numId w:val="41"/>
        </w:numPr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4%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wynika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19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ust.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3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14:paraId="525BA769" w14:textId="77777777" w:rsidR="009356A8" w:rsidRPr="00EB7EAA" w:rsidRDefault="007C4A0E" w:rsidP="00265A33">
      <w:pPr>
        <w:pStyle w:val="Default"/>
        <w:numPr>
          <w:ilvl w:val="0"/>
          <w:numId w:val="41"/>
        </w:numPr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6%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uproszczeniu,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wzór: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n</w:t>
      </w:r>
      <w:r w:rsidRPr="00EB7EAA">
        <w:rPr>
          <w:rFonts w:ascii="Calibri" w:hAnsi="Calibri"/>
        </w:rPr>
        <w:t>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=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r</w:t>
      </w:r>
      <w:r w:rsidRPr="00EB7EAA">
        <w:rPr>
          <w:rFonts w:ascii="Calibri" w:hAnsi="Calibri"/>
        </w:rPr>
        <w:t>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*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i</w:t>
      </w:r>
      <w:r w:rsidRPr="00EB7EAA">
        <w:rPr>
          <w:rFonts w:ascii="Calibri" w:hAnsi="Calibri"/>
        </w:rPr>
        <w:t>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gdzie: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n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r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i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inflacji,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Wytycznych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Ministra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Finansów</w:t>
      </w:r>
      <w:r w:rsidR="009356A8" w:rsidRPr="00EB7EAA">
        <w:rPr>
          <w:rStyle w:val="Odwoanieprzypisudolnego"/>
          <w:rFonts w:ascii="Calibri" w:hAnsi="Calibri"/>
        </w:rPr>
        <w:footnoteReference w:id="18"/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2025</w:t>
      </w:r>
      <w:r w:rsidR="00656606">
        <w:rPr>
          <w:rFonts w:ascii="Calibri" w:hAnsi="Calibri"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2040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będzie</w:t>
      </w:r>
      <w:r w:rsidR="00656606">
        <w:rPr>
          <w:rFonts w:ascii="Calibri" w:hAnsi="Calibri"/>
        </w:rPr>
        <w:t xml:space="preserve"> </w:t>
      </w:r>
      <w:proofErr w:type="spellStart"/>
      <w:r w:rsidRPr="00EB7EAA">
        <w:rPr>
          <w:rFonts w:ascii="Calibri" w:hAnsi="Calibri"/>
        </w:rPr>
        <w:t>konwergował</w:t>
      </w:r>
      <w:proofErr w:type="spellEnd"/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górnej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granicy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inflacyjnego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Europejskiego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Banku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Centralnego,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2%.</w:t>
      </w:r>
      <w:r w:rsidR="00656606">
        <w:rPr>
          <w:rFonts w:ascii="Calibri" w:hAnsi="Calibri"/>
        </w:rPr>
        <w:t xml:space="preserve"> </w:t>
      </w:r>
    </w:p>
    <w:p w14:paraId="21324F86" w14:textId="77777777" w:rsidR="00283FF6" w:rsidRPr="005F582D" w:rsidRDefault="00283FF6" w:rsidP="00E34958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5F582D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odzwierciedlać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życia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ekonomicznego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planowanego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dofinansowania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funduszy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UE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(patrz</w:t>
      </w:r>
      <w:r w:rsidR="009356A8" w:rsidRPr="005F582D">
        <w:rPr>
          <w:rFonts w:ascii="Calibri" w:hAnsi="Calibri"/>
        </w:rPr>
        <w:t>: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odniesienia).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Komisja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Europejska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określiła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następujące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okresy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projektów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generujących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dochód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należących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poszczególnych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sektorów</w:t>
      </w:r>
      <w:r w:rsidR="00C76DBF" w:rsidRPr="00EB7EAA">
        <w:rPr>
          <w:rStyle w:val="Odwoanieprzypisudolnego"/>
          <w:rFonts w:ascii="Calibri" w:hAnsi="Calibri"/>
        </w:rPr>
        <w:footnoteReference w:id="19"/>
      </w:r>
      <w:r w:rsidR="00656606">
        <w:rPr>
          <w:rFonts w:ascii="Calibri" w:hAnsi="Calibri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1"/>
        <w:gridCol w:w="4441"/>
      </w:tblGrid>
      <w:tr w:rsidR="00283FF6" w:rsidRPr="00EB7EAA" w14:paraId="1E7627DC" w14:textId="77777777" w:rsidTr="00DF6482">
        <w:trPr>
          <w:trHeight w:val="850"/>
          <w:jc w:val="center"/>
        </w:trPr>
        <w:tc>
          <w:tcPr>
            <w:tcW w:w="2500" w:type="pct"/>
            <w:shd w:val="clear" w:color="auto" w:fill="BFBFBF"/>
            <w:vAlign w:val="center"/>
          </w:tcPr>
          <w:p w14:paraId="22217C22" w14:textId="77777777" w:rsidR="00283FF6" w:rsidRPr="00EB7EAA" w:rsidRDefault="00283FF6" w:rsidP="005F582D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79A3DD85" w14:textId="77777777" w:rsidR="00283FF6" w:rsidRPr="005F582D" w:rsidRDefault="00283FF6" w:rsidP="005F582D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Okres</w:t>
            </w:r>
            <w:r w:rsidR="0065660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odniesienia</w:t>
            </w:r>
            <w:r w:rsidR="00964AE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(w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latach)</w:t>
            </w:r>
          </w:p>
        </w:tc>
      </w:tr>
      <w:tr w:rsidR="00283FF6" w:rsidRPr="00EB7EAA" w14:paraId="73BA9299" w14:textId="77777777" w:rsidTr="00DF6482">
        <w:trPr>
          <w:trHeight w:val="454"/>
          <w:jc w:val="center"/>
        </w:trPr>
        <w:tc>
          <w:tcPr>
            <w:tcW w:w="2500" w:type="pct"/>
          </w:tcPr>
          <w:p w14:paraId="35E3F62B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Koleje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567A1E5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1B6F29C5" w14:textId="77777777" w:rsidTr="00DF6482">
        <w:trPr>
          <w:trHeight w:val="454"/>
          <w:jc w:val="center"/>
        </w:trPr>
        <w:tc>
          <w:tcPr>
            <w:tcW w:w="2500" w:type="pct"/>
          </w:tcPr>
          <w:p w14:paraId="5796F190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wodno</w:t>
            </w:r>
            <w:r w:rsidR="00534407">
              <w:rPr>
                <w:rFonts w:ascii="Calibri" w:hAnsi="Calibri"/>
                <w:sz w:val="20"/>
                <w:szCs w:val="20"/>
              </w:rPr>
              <w:t>-</w:t>
            </w:r>
            <w:r w:rsidRPr="00EB7EAA">
              <w:rPr>
                <w:rFonts w:ascii="Calibri" w:hAnsi="Calibri"/>
                <w:sz w:val="20"/>
                <w:szCs w:val="20"/>
              </w:rPr>
              <w:t>ściekowa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4BE166D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4C8D44DA" w14:textId="77777777" w:rsidTr="00DF6482">
        <w:trPr>
          <w:trHeight w:val="454"/>
          <w:jc w:val="center"/>
        </w:trPr>
        <w:tc>
          <w:tcPr>
            <w:tcW w:w="2500" w:type="pct"/>
          </w:tcPr>
          <w:p w14:paraId="12A219B3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Drogi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6FC0A52B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69171A81" w14:textId="77777777" w:rsidTr="00DF6482">
        <w:trPr>
          <w:trHeight w:val="454"/>
          <w:jc w:val="center"/>
        </w:trPr>
        <w:tc>
          <w:tcPr>
            <w:tcW w:w="2500" w:type="pct"/>
          </w:tcPr>
          <w:p w14:paraId="62973E21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Gospodarowanie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odpadami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F375725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798623F9" w14:textId="77777777" w:rsidTr="00DF6482">
        <w:trPr>
          <w:trHeight w:val="454"/>
          <w:jc w:val="center"/>
        </w:trPr>
        <w:tc>
          <w:tcPr>
            <w:tcW w:w="2500" w:type="pct"/>
          </w:tcPr>
          <w:p w14:paraId="3660AE91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Porty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morskie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lotnicze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3615B323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6B162535" w14:textId="77777777" w:rsidTr="00DF6482">
        <w:trPr>
          <w:trHeight w:val="454"/>
          <w:jc w:val="center"/>
        </w:trPr>
        <w:tc>
          <w:tcPr>
            <w:tcW w:w="2500" w:type="pct"/>
          </w:tcPr>
          <w:p w14:paraId="2A1EF4A1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Transport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miejski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09B90FF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767C298C" w14:textId="77777777" w:rsidTr="00DF6482">
        <w:trPr>
          <w:trHeight w:val="454"/>
          <w:jc w:val="center"/>
        </w:trPr>
        <w:tc>
          <w:tcPr>
            <w:tcW w:w="2500" w:type="pct"/>
          </w:tcPr>
          <w:p w14:paraId="4B9E404A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Energetyka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1153AC4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5D0F200C" w14:textId="77777777" w:rsidTr="00DF6482">
        <w:trPr>
          <w:trHeight w:val="454"/>
          <w:jc w:val="center"/>
        </w:trPr>
        <w:tc>
          <w:tcPr>
            <w:tcW w:w="2500" w:type="pct"/>
          </w:tcPr>
          <w:p w14:paraId="1452D07B" w14:textId="77777777" w:rsidR="00283FF6" w:rsidRPr="00EB7EAA" w:rsidRDefault="0077546F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Badania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Innowacyjność</w:t>
            </w:r>
            <w:r w:rsidRPr="00EB7EAA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0"/>
            </w:r>
          </w:p>
        </w:tc>
        <w:tc>
          <w:tcPr>
            <w:tcW w:w="2500" w:type="pct"/>
            <w:vAlign w:val="center"/>
          </w:tcPr>
          <w:p w14:paraId="4814B275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190B9EA6" w14:textId="77777777" w:rsidTr="00DF6482">
        <w:trPr>
          <w:trHeight w:val="454"/>
          <w:jc w:val="center"/>
        </w:trPr>
        <w:tc>
          <w:tcPr>
            <w:tcW w:w="2500" w:type="pct"/>
          </w:tcPr>
          <w:p w14:paraId="284D5BA1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lastRenderedPageBreak/>
              <w:t>Sieci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szerokopasmowe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3AC0FF36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785C2589" w14:textId="77777777" w:rsidTr="00DF6482">
        <w:trPr>
          <w:trHeight w:val="454"/>
          <w:jc w:val="center"/>
        </w:trPr>
        <w:tc>
          <w:tcPr>
            <w:tcW w:w="2500" w:type="pct"/>
          </w:tcPr>
          <w:p w14:paraId="6DD20C96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Infrastruktura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biznesowa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2E39BEDE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14:paraId="49AEFCE2" w14:textId="77777777" w:rsidTr="00DF6482">
        <w:trPr>
          <w:trHeight w:val="454"/>
          <w:jc w:val="center"/>
        </w:trPr>
        <w:tc>
          <w:tcPr>
            <w:tcW w:w="2500" w:type="pct"/>
          </w:tcPr>
          <w:p w14:paraId="0218DF47" w14:textId="77777777"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Pozostałe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F3A467E" w14:textId="77777777"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92841EB" w14:textId="77777777" w:rsidR="00C93C31" w:rsidRPr="00EB7EAA" w:rsidRDefault="00C76DBF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Powyższe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okresy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mają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charakter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wiążący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obejmują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realizacj</w:t>
      </w:r>
      <w:r w:rsidRPr="00EB7EAA">
        <w:rPr>
          <w:rFonts w:ascii="Calibri" w:hAnsi="Calibri"/>
          <w:b/>
        </w:rPr>
        <w:t>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inwestycji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jej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operacyjność.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  <w:bCs/>
        </w:rPr>
        <w:t>okresów</w:t>
      </w:r>
      <w:r w:rsidR="00656606">
        <w:rPr>
          <w:rFonts w:ascii="Calibri" w:hAnsi="Calibri"/>
          <w:b/>
          <w:bCs/>
        </w:rPr>
        <w:t xml:space="preserve"> </w:t>
      </w:r>
      <w:r w:rsidR="00C93C31" w:rsidRPr="00EB7EAA">
        <w:rPr>
          <w:rFonts w:ascii="Calibri" w:hAnsi="Calibri"/>
          <w:b/>
          <w:bCs/>
        </w:rPr>
        <w:t>odniesienia,</w:t>
      </w:r>
      <w:r w:rsidR="00656606">
        <w:rPr>
          <w:rFonts w:ascii="Calibri" w:hAnsi="Calibri"/>
          <w:b/>
          <w:bCs/>
        </w:rPr>
        <w:t xml:space="preserve"> </w:t>
      </w:r>
      <w:r w:rsidR="00C93C31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ten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został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wskazany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czasowym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25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30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lat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przyjąć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jego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minimalną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długość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(czyli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sektora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„Drogi”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czy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„Gospodarowanie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odpadami”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powinien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wynosić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25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lat,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chyba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zalecenia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sektorowe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zakresie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zawarte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Niebieskich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księgach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mówią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inaczej).</w:t>
      </w:r>
    </w:p>
    <w:p w14:paraId="7875A9B6" w14:textId="77777777" w:rsidR="00C93C31" w:rsidRPr="00EB7EAA" w:rsidRDefault="00AE4135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Natomiast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  <w:bCs/>
        </w:rPr>
        <w:t>okresów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odniesienia,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ten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został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wskazany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czasowym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25,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20,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10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lat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przyjąć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maksymalną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długość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(czyli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sektora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„Pozostałe”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powinien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wynosić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lat,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chyba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zalecenia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sektorowe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zakresie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zawarte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Niebieskich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księgach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mówią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inaczej).</w:t>
      </w:r>
    </w:p>
    <w:p w14:paraId="54FCA70C" w14:textId="77777777" w:rsidR="00C93C31" w:rsidRPr="00EB7EAA" w:rsidRDefault="0065052A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niektórych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przypadkach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dopuszczalne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przyjęcie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niż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zalecany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wskazanym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czasowym).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Wówczas</w:t>
      </w:r>
      <w:r w:rsidR="00656606">
        <w:rPr>
          <w:rFonts w:ascii="Calibri" w:hAnsi="Calibri"/>
          <w:b/>
        </w:rPr>
        <w:t xml:space="preserve"> </w:t>
      </w:r>
      <w:r w:rsidR="0077546F" w:rsidRPr="00EB7EAA">
        <w:rPr>
          <w:rFonts w:ascii="Calibri" w:hAnsi="Calibri"/>
          <w:b/>
        </w:rPr>
        <w:t>jednak,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podać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dokładne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uzasadnienie.</w:t>
      </w:r>
    </w:p>
    <w:p w14:paraId="7BA161FB" w14:textId="77777777" w:rsidR="00C76DBF" w:rsidRPr="00EB7EAA" w:rsidRDefault="00283FF6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  <w:b/>
        </w:rPr>
      </w:pPr>
      <w:r w:rsidRPr="00EB7EAA">
        <w:rPr>
          <w:rFonts w:ascii="Calibri" w:hAnsi="Calibri"/>
        </w:rPr>
        <w:t>metoda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amortyzacji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typu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aktywa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A56DF6">
        <w:rPr>
          <w:rFonts w:ascii="Calibri" w:hAnsi="Calibri"/>
        </w:rPr>
        <w:t> </w:t>
      </w:r>
      <w:r w:rsidRPr="00EB7EAA">
        <w:rPr>
          <w:rFonts w:ascii="Calibri" w:hAnsi="Calibri"/>
        </w:rPr>
        <w:t>polityką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rachunkowości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beneficjenta/operatora.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Amortyzacja,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faktycznego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0666C">
        <w:rPr>
          <w:rFonts w:ascii="Calibri" w:hAnsi="Calibri"/>
        </w:rPr>
        <w:t> </w:t>
      </w:r>
      <w:r w:rsidRPr="00EB7EAA">
        <w:rPr>
          <w:rFonts w:ascii="Calibri" w:hAnsi="Calibri"/>
        </w:rPr>
        <w:t>kosztach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wpływać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pośredni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wpływ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wysokość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0666C">
        <w:rPr>
          <w:rFonts w:ascii="Calibri" w:hAnsi="Calibri"/>
        </w:rPr>
        <w:t> </w:t>
      </w:r>
      <w:r w:rsidRPr="00EB7EAA">
        <w:rPr>
          <w:rFonts w:ascii="Calibri" w:hAnsi="Calibri"/>
        </w:rPr>
        <w:t>finansowaniu</w:t>
      </w:r>
      <w:r w:rsidR="00A16B03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jeśli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kalkulacji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dochodu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taryf);</w:t>
      </w:r>
      <w:r w:rsidR="00656606">
        <w:rPr>
          <w:rFonts w:ascii="Calibri" w:hAnsi="Calibri"/>
        </w:rPr>
        <w:t xml:space="preserve"> </w:t>
      </w:r>
    </w:p>
    <w:p w14:paraId="7938C63A" w14:textId="77777777" w:rsidR="00BB5E04" w:rsidRPr="00EB7EAA" w:rsidRDefault="00283FF6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koszty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kwalifikowalne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mogą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uwzględniać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nieprzewidziane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wydatki,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pod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warunkiem,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wartość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przekracza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10%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całkowitych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nakładów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inwestycyjnych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bez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proponowanego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załączona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szczegółowa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ryzyka,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uzasadniająca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utworzenie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rezerwy.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nieprzewidziane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wydatki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uwzględnia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się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potrzeb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wyliczania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luki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finansowaniu,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rentowności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1B0BF1">
        <w:rPr>
          <w:rFonts w:ascii="Calibri" w:hAnsi="Calibri"/>
          <w:b/>
        </w:rPr>
        <w:t> </w:t>
      </w:r>
      <w:r w:rsidRPr="00EB7EAA">
        <w:rPr>
          <w:rFonts w:ascii="Calibri" w:hAnsi="Calibri"/>
          <w:b/>
        </w:rPr>
        <w:t>ekonomicznej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trwałości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uwagi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fakt,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iż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stanowią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przepływu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środków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pieniężnych.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prezentowana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oddzielnie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="00C76DBF" w:rsidRPr="00EB7EAA">
        <w:rPr>
          <w:rFonts w:ascii="Calibri" w:hAnsi="Calibri"/>
        </w:rPr>
        <w:t>projektu.</w:t>
      </w:r>
    </w:p>
    <w:p w14:paraId="12199C94" w14:textId="77777777" w:rsidR="006A54DE" w:rsidRPr="00EB7EAA" w:rsidRDefault="00D556EB" w:rsidP="00EB7EAA">
      <w:pPr>
        <w:pStyle w:val="Nagwek2"/>
        <w:jc w:val="both"/>
        <w:rPr>
          <w:i/>
        </w:rPr>
      </w:pPr>
      <w:bookmarkStart w:id="29" w:name="_Toc21079596"/>
      <w:r w:rsidRPr="00EB7EAA">
        <w:lastRenderedPageBreak/>
        <w:t>Określenie</w:t>
      </w:r>
      <w:r w:rsidR="00656606">
        <w:t xml:space="preserve"> </w:t>
      </w:r>
      <w:r w:rsidRPr="00EB7EAA">
        <w:t>przychodów</w:t>
      </w:r>
      <w:bookmarkEnd w:id="29"/>
      <w:r w:rsidR="00656606">
        <w:t xml:space="preserve"> </w:t>
      </w:r>
    </w:p>
    <w:p w14:paraId="7B9896D4" w14:textId="77777777" w:rsidR="00BB5E04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wyprzedzeniem,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pozwalającym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</w:p>
    <w:p w14:paraId="27DF44A5" w14:textId="77777777" w:rsidR="006747E7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sektorów</w:t>
      </w:r>
      <w:r w:rsidR="006747E7" w:rsidRPr="00EB7EAA">
        <w:rPr>
          <w:rStyle w:val="Odwoanieprzypisudolnego"/>
          <w:sz w:val="24"/>
          <w:szCs w:val="24"/>
        </w:rPr>
        <w:footnoteReference w:id="21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zasadą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„zanieczyszczający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płaci”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zasadą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pełnego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zwrotu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kosztów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uwzględnieniu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kryterium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dostępności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cenowej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taryf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wyrażającego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granicę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zdolności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zakupu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dóbr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projekt.</w:t>
      </w:r>
      <w:r w:rsidR="00656606">
        <w:rPr>
          <w:sz w:val="24"/>
          <w:szCs w:val="24"/>
        </w:rPr>
        <w:t xml:space="preserve"> </w:t>
      </w:r>
    </w:p>
    <w:p w14:paraId="3B592AB5" w14:textId="77777777" w:rsidR="00BB5E04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metodologią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opisaną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2015/207,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pełnego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że:</w:t>
      </w:r>
      <w:r w:rsidR="00656606">
        <w:rPr>
          <w:sz w:val="24"/>
          <w:szCs w:val="24"/>
        </w:rPr>
        <w:t xml:space="preserve"> </w:t>
      </w:r>
    </w:p>
    <w:p w14:paraId="66C84781" w14:textId="77777777" w:rsidR="006747E7" w:rsidRPr="00EB7EAA" w:rsidRDefault="00BB5E04" w:rsidP="000029BB">
      <w:pPr>
        <w:pStyle w:val="Default"/>
        <w:numPr>
          <w:ilvl w:val="0"/>
          <w:numId w:val="10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przyjęte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tyle,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pokrywać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odtworzeniowe,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CB769C">
        <w:rPr>
          <w:rFonts w:ascii="Calibri" w:hAnsi="Calibri"/>
        </w:rPr>
        <w:t> </w:t>
      </w:r>
      <w:r w:rsidRPr="00EB7EAA">
        <w:rPr>
          <w:rFonts w:ascii="Calibri" w:hAnsi="Calibri"/>
        </w:rPr>
        <w:t>zanieczyszczeniem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środowiska,</w:t>
      </w:r>
      <w:r w:rsidR="00656606">
        <w:rPr>
          <w:rFonts w:ascii="Calibri" w:hAnsi="Calibri"/>
        </w:rPr>
        <w:t xml:space="preserve"> </w:t>
      </w:r>
    </w:p>
    <w:p w14:paraId="2C6C1354" w14:textId="77777777" w:rsidR="00BB5E04" w:rsidRPr="00EB7EAA" w:rsidRDefault="00BB5E04" w:rsidP="000029BB">
      <w:pPr>
        <w:pStyle w:val="Default"/>
        <w:numPr>
          <w:ilvl w:val="0"/>
          <w:numId w:val="10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struktura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maksymalizować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subwencji/dotacji,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kryterium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dostępności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cenowej.</w:t>
      </w:r>
      <w:r w:rsidR="00656606">
        <w:rPr>
          <w:rFonts w:ascii="Calibri" w:hAnsi="Calibri"/>
        </w:rPr>
        <w:t xml:space="preserve"> </w:t>
      </w:r>
    </w:p>
    <w:p w14:paraId="492E53D5" w14:textId="77777777" w:rsidR="00BB5E04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Dostępność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miarą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statystyczną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odzwierciedla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wzrost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(prowadziłby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rezultacie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wyraźnego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musiałyby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socjalną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domowych.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przyjąć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zasiłków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wypłacanych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wypłacanych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grupie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taryfowej.</w:t>
      </w:r>
      <w:r w:rsidR="00656606">
        <w:rPr>
          <w:sz w:val="24"/>
          <w:szCs w:val="24"/>
        </w:rPr>
        <w:t xml:space="preserve"> </w:t>
      </w:r>
    </w:p>
    <w:p w14:paraId="1152F5D0" w14:textId="77777777" w:rsidR="00D556EB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Korekty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dostępności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wykazała,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okazać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zbyt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skutkowało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spadkiem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(wynikającym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niezdolności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odbiorców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zagrozi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inwestycji.</w:t>
      </w:r>
    </w:p>
    <w:p w14:paraId="36ACE176" w14:textId="77777777" w:rsidR="00BB5E04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Skalę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korekty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beneficjent,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uwzględniając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uwarunkowania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lokalne,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zwłaszcza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aktualny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wydatków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ponoszonych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gospodarstwa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domowe.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21524EDA" w14:textId="77777777" w:rsidR="00BB5E04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lastRenderedPageBreak/>
        <w:t>Odwołując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kryterium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dostępności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cenowej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ustalaniu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zastosować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poniższych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reguł: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6DA7B2A5" w14:textId="77777777"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powinna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zagrażać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trwałości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finansowej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</w:p>
    <w:p w14:paraId="557D5FA6" w14:textId="77777777"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co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zasady,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powinna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mieć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charakter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tymczasowy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obowiązywać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momentu,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którego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jest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niezbędna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zastosowania,</w:t>
      </w:r>
      <w:r w:rsidR="00656606">
        <w:rPr>
          <w:rFonts w:ascii="Calibri" w:eastAsia="Times New Roman" w:hAnsi="Calibri"/>
        </w:rPr>
        <w:t xml:space="preserve"> </w:t>
      </w:r>
    </w:p>
    <w:p w14:paraId="45CB38F3" w14:textId="77777777"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oparta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przedmiotowej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zasadzie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może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być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dokonana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wyłącznie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odniesieniu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opłat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domowe,</w:t>
      </w:r>
      <w:r w:rsidR="00656606">
        <w:rPr>
          <w:rFonts w:ascii="Calibri" w:eastAsia="Times New Roman" w:hAnsi="Calibri"/>
        </w:rPr>
        <w:t xml:space="preserve"> </w:t>
      </w:r>
    </w:p>
    <w:p w14:paraId="20548D5C" w14:textId="77777777"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jeżeli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analizie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finansowej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stosowano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wymiarze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uwzględniającym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kryterium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dostępności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cenowej,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tożsame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muszą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być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stosowane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fazie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operacyjnej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  <w:r w:rsidR="00656606">
        <w:rPr>
          <w:rFonts w:ascii="Calibri" w:eastAsia="Times New Roman" w:hAnsi="Calibri"/>
        </w:rPr>
        <w:t xml:space="preserve"> </w:t>
      </w:r>
    </w:p>
    <w:p w14:paraId="66BFB60C" w14:textId="77777777" w:rsidR="00BB5E04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maksymalna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dopuszczalna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może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doprowadzić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obniżenia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poniżej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realizacją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jak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również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prognozowanych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dla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wariantu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inwestycji.</w:t>
      </w:r>
      <w:r w:rsidR="00656606">
        <w:rPr>
          <w:rFonts w:ascii="Calibri" w:eastAsia="Times New Roman" w:hAnsi="Calibri"/>
        </w:rPr>
        <w:t xml:space="preserve"> </w:t>
      </w:r>
    </w:p>
    <w:p w14:paraId="63B7C9F7" w14:textId="77777777" w:rsidR="00041F80" w:rsidRPr="00EB7EAA" w:rsidRDefault="00BB5E04" w:rsidP="00265A33">
      <w:pPr>
        <w:pStyle w:val="Bezodstpw"/>
        <w:numPr>
          <w:ilvl w:val="0"/>
          <w:numId w:val="29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potrzeby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obliczenia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finansowaniu,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powinny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być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wyłącznie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pochodzące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bezpośrednich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dokonywanych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użytkowników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określone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instytucje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towary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usługi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zapewniane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tzn.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opłat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wnoszonych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według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zgodnie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zapisami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niniejszego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podrozdziału.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ewentualnych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subsydiów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służących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sfinansowaniu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różnicy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pomiędzy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planami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taryfowymi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wynikającymi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zasady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pełnego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zwrotu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kosztów,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przewidzianymi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wdrożenia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fazie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operacyjnej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(ograniczonymi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zgodnie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regułą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dostępności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cenowej).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przychód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zasady,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składają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zatem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transfery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budżetu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państwa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samorządu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publicznych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systemów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ubezpieczeń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dotacje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działalność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oraz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subsydia).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Właściwym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wszystkich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źródeł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trwałości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</w:p>
    <w:p w14:paraId="1CCC003E" w14:textId="77777777" w:rsidR="006A54DE" w:rsidRPr="00EB7EAA" w:rsidRDefault="00041F80" w:rsidP="00EB7EAA">
      <w:pPr>
        <w:pStyle w:val="Nagwek2"/>
        <w:jc w:val="both"/>
        <w:rPr>
          <w:i/>
        </w:rPr>
      </w:pPr>
      <w:bookmarkStart w:id="30" w:name="_Toc21079597"/>
      <w:r w:rsidRPr="00EB7EAA">
        <w:lastRenderedPageBreak/>
        <w:t>Metoda</w:t>
      </w:r>
      <w:r w:rsidR="00656606">
        <w:t xml:space="preserve"> </w:t>
      </w:r>
      <w:r w:rsidRPr="00EB7EAA">
        <w:t>luki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finansowaniu</w:t>
      </w:r>
      <w:bookmarkEnd w:id="30"/>
    </w:p>
    <w:p w14:paraId="5932197F" w14:textId="77777777" w:rsidR="00041F80" w:rsidRPr="00EB7EAA" w:rsidRDefault="00D523F8" w:rsidP="006E2756">
      <w:pPr>
        <w:keepLines/>
        <w:jc w:val="both"/>
        <w:rPr>
          <w:b/>
          <w:szCs w:val="24"/>
        </w:rPr>
      </w:pPr>
      <w:r w:rsidRPr="00EB7EAA">
        <w:rPr>
          <w:b/>
          <w:szCs w:val="24"/>
        </w:rPr>
        <w:t>Jeżeli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regulaminie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konkursu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zostało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określone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inaczej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wymóg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zastosowania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opartej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zryczałtowanych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procentowych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stawkach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dochodów),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0B010C"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="000B010C" w:rsidRPr="00EB7EAA">
        <w:rPr>
          <w:b/>
          <w:szCs w:val="24"/>
        </w:rPr>
        <w:t>w</w:t>
      </w:r>
      <w:r w:rsidR="006E2756">
        <w:rPr>
          <w:b/>
          <w:szCs w:val="24"/>
        </w:rPr>
        <w:t> </w:t>
      </w:r>
      <w:r w:rsidRPr="00EB7EAA">
        <w:rPr>
          <w:b/>
          <w:szCs w:val="24"/>
        </w:rPr>
        <w:t>przypadku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generujących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dochód,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dla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których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istnieje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możliwość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obiektywnego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określenia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przychodu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wyprzedzeniem,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poziom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dofinansow</w:t>
      </w:r>
      <w:r w:rsidR="00EF3342" w:rsidRPr="00EB7EAA">
        <w:rPr>
          <w:b/>
          <w:szCs w:val="24"/>
        </w:rPr>
        <w:t>ania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należy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ustalić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(obliczyć)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pomocą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luki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finansowaniu.</w:t>
      </w:r>
      <w:r w:rsidR="00656606">
        <w:rPr>
          <w:b/>
          <w:szCs w:val="24"/>
        </w:rPr>
        <w:t xml:space="preserve"> </w:t>
      </w:r>
    </w:p>
    <w:p w14:paraId="72090835" w14:textId="77777777"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1.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podstawę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</w:t>
      </w:r>
      <w:r w:rsidR="006E2756">
        <w:rPr>
          <w:sz w:val="24"/>
          <w:szCs w:val="24"/>
        </w:rPr>
        <w:t> </w:t>
      </w:r>
      <w:r w:rsidR="000C47D4" w:rsidRPr="00EB7EAA">
        <w:rPr>
          <w:sz w:val="24"/>
          <w:szCs w:val="24"/>
        </w:rPr>
        <w:t>finansowaniu,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umożliwiającego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funduszy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wyjątkiem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określany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wykorzystaniem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dochodów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możliwe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obiektywne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wyprzedzeniem.</w:t>
      </w:r>
      <w:r w:rsidR="00656606">
        <w:rPr>
          <w:sz w:val="24"/>
          <w:szCs w:val="24"/>
        </w:rPr>
        <w:t xml:space="preserve"> </w:t>
      </w:r>
    </w:p>
    <w:p w14:paraId="5F8CC8BF" w14:textId="77777777" w:rsidR="00E56D6D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Postanowienia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niniejszego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podrozdziału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stosuje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których:</w:t>
      </w:r>
      <w:r w:rsidR="00656606">
        <w:rPr>
          <w:sz w:val="24"/>
          <w:szCs w:val="24"/>
        </w:rPr>
        <w:t xml:space="preserve"> </w:t>
      </w:r>
    </w:p>
    <w:p w14:paraId="36FE2C04" w14:textId="77777777" w:rsidR="00E56D6D" w:rsidRPr="00EB7EAA" w:rsidRDefault="00E56D6D" w:rsidP="000029BB">
      <w:pPr>
        <w:pStyle w:val="Default"/>
        <w:numPr>
          <w:ilvl w:val="0"/>
          <w:numId w:val="12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przewyższają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</w:t>
      </w:r>
      <w:r w:rsidR="000B010C" w:rsidRPr="00EB7EAA">
        <w:rPr>
          <w:rFonts w:ascii="Calibri" w:hAnsi="Calibri"/>
        </w:rPr>
        <w:t>yskontowane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i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wyposażenia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krótkotrwałego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poniesione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rezydualnej</w:t>
      </w:r>
      <w:r w:rsidRPr="00EB7EAA">
        <w:rPr>
          <w:rStyle w:val="Odwoanieprzypisudolnego"/>
          <w:rFonts w:ascii="Calibri" w:hAnsi="Calibri"/>
        </w:rPr>
        <w:footnoteReference w:id="22"/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(stosuje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</w:t>
      </w:r>
      <w:r w:rsidR="000B010C" w:rsidRPr="00EB7EAA">
        <w:rPr>
          <w:rFonts w:ascii="Calibri" w:hAnsi="Calibri"/>
        </w:rPr>
        <w:t>ktywnego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określenia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przychodu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z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wyprzedzeniem),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</w:p>
    <w:p w14:paraId="4FEB6D1E" w14:textId="77777777" w:rsidR="00E56D6D" w:rsidRPr="00EB7EAA" w:rsidRDefault="00E56D6D" w:rsidP="000029BB">
      <w:pPr>
        <w:pStyle w:val="Default"/>
        <w:numPr>
          <w:ilvl w:val="0"/>
          <w:numId w:val="12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wygenerowane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trzech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zakończenia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terminu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złożenie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dokumentów,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dotyczących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zamknięcia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programu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przepisa</w:t>
      </w:r>
      <w:r w:rsidR="00A16B03" w:rsidRPr="00EB7EAA">
        <w:rPr>
          <w:rFonts w:ascii="Calibri" w:hAnsi="Calibri"/>
        </w:rPr>
        <w:t>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dotyczących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poszczególnych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funduszy</w:t>
      </w:r>
      <w:r w:rsidRPr="00EB7EAA">
        <w:rPr>
          <w:rStyle w:val="Odwoanieprzypisudolnego"/>
          <w:rFonts w:ascii="Calibri" w:hAnsi="Calibri"/>
        </w:rPr>
        <w:footnoteReference w:id="23"/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zależności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termin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nastąpi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wcześniej,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przewyższają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(stosuje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obiektywnie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wyprzedzeniem).</w:t>
      </w:r>
      <w:r w:rsidR="00656606">
        <w:rPr>
          <w:rFonts w:ascii="Calibri" w:hAnsi="Calibri"/>
        </w:rPr>
        <w:t xml:space="preserve"> </w:t>
      </w:r>
    </w:p>
    <w:p w14:paraId="15C605AC" w14:textId="77777777"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3.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wątpliwości,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83775E">
        <w:rPr>
          <w:sz w:val="24"/>
          <w:szCs w:val="24"/>
        </w:rPr>
        <w:t> </w:t>
      </w:r>
      <w:r w:rsidRPr="00EB7EAA">
        <w:rPr>
          <w:sz w:val="24"/>
          <w:szCs w:val="24"/>
        </w:rPr>
        <w:t>charakterze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pierwszej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kolejności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zbadać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świadczonymi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usługami.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uwadze,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płacącym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odbiorca,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instytucja.</w:t>
      </w:r>
      <w:r w:rsidR="00656606">
        <w:rPr>
          <w:sz w:val="24"/>
          <w:szCs w:val="24"/>
        </w:rPr>
        <w:t xml:space="preserve"> </w:t>
      </w:r>
    </w:p>
    <w:p w14:paraId="68D44EEE" w14:textId="77777777"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4.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B8498F">
        <w:rPr>
          <w:sz w:val="24"/>
          <w:szCs w:val="24"/>
        </w:rPr>
        <w:t> </w:t>
      </w:r>
      <w:r w:rsidRPr="00EB7EAA">
        <w:rPr>
          <w:sz w:val="24"/>
          <w:szCs w:val="24"/>
        </w:rPr>
        <w:t>wyprzedzeniem,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jednocześnie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2)</w:t>
      </w:r>
      <w:r w:rsidR="00656606">
        <w:rPr>
          <w:sz w:val="24"/>
          <w:szCs w:val="24"/>
        </w:rPr>
        <w:t xml:space="preserve"> </w:t>
      </w:r>
      <w:proofErr w:type="spellStart"/>
      <w:r w:rsidRPr="00EB7EAA">
        <w:rPr>
          <w:sz w:val="24"/>
          <w:szCs w:val="24"/>
        </w:rPr>
        <w:t>ppkt</w:t>
      </w:r>
      <w:proofErr w:type="spellEnd"/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niniejszego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podrozdziału,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maksymalny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SZOOP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RPOWŚ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Pr="00EB7EAA">
        <w:rPr>
          <w:rStyle w:val="Odwoanieprzypisudolnego"/>
          <w:sz w:val="24"/>
          <w:szCs w:val="24"/>
        </w:rPr>
        <w:footnoteReference w:id="24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proporcjonalnej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udziału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odliczany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deklarowanych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Europejskiej.</w:t>
      </w:r>
    </w:p>
    <w:p w14:paraId="33E4EA30" w14:textId="77777777" w:rsidR="00D523F8" w:rsidRPr="00EB7EAA" w:rsidRDefault="00D523F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5.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107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TFUE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</w:t>
      </w:r>
      <w:r w:rsidR="00A16B03" w:rsidRPr="00EB7EAA">
        <w:rPr>
          <w:sz w:val="24"/>
          <w:szCs w:val="24"/>
        </w:rPr>
        <w:t>y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odpowiednio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</w:p>
    <w:p w14:paraId="6FF8F23A" w14:textId="77777777" w:rsidR="001F7EE5" w:rsidRPr="00EB7EAA" w:rsidRDefault="00D523F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6.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Metoda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oparte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wykorzystanie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dochodów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skorygowanych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kwalifikowalnych,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stanowiących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podstawę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ustalenia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dofinansowania,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jednej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strony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gwarantuje,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miał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wystarczające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zasoby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realizację,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drugiej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pozwala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uniknąć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przyznania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nienależnych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odbiorcy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pomocy,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czyli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wyższej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konieczne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(zapewniającej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poziomie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wyższym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tzw.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„zwykle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oczekiwana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rentowność”,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patrz: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zwykle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oczekiwanej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rentowności).</w:t>
      </w:r>
      <w:r w:rsidR="00656606">
        <w:rPr>
          <w:sz w:val="24"/>
          <w:szCs w:val="24"/>
        </w:rPr>
        <w:t xml:space="preserve"> </w:t>
      </w:r>
    </w:p>
    <w:p w14:paraId="3C717D27" w14:textId="77777777" w:rsidR="001F7EE5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7.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standardowej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złożonej,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uwzględniając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pieniężnych:</w:t>
      </w:r>
      <w:r w:rsidR="00656606">
        <w:rPr>
          <w:sz w:val="24"/>
          <w:szCs w:val="24"/>
        </w:rPr>
        <w:t xml:space="preserve"> </w:t>
      </w:r>
    </w:p>
    <w:p w14:paraId="68DB122A" w14:textId="77777777"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(DIC),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uwzględniające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zmiany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B8498F">
        <w:rPr>
          <w:rFonts w:ascii="Calibri" w:hAnsi="Calibri"/>
        </w:rPr>
        <w:t> </w:t>
      </w:r>
      <w:r w:rsidRPr="00EB7EAA">
        <w:rPr>
          <w:rFonts w:ascii="Calibri" w:hAnsi="Calibri"/>
        </w:rPr>
        <w:t>kapitale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obrotowym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inwestycyjnej;</w:t>
      </w:r>
      <w:r w:rsidR="00656606">
        <w:rPr>
          <w:rFonts w:ascii="Calibri" w:hAnsi="Calibri"/>
        </w:rPr>
        <w:t xml:space="preserve"> </w:t>
      </w:r>
    </w:p>
    <w:p w14:paraId="3754BCA9" w14:textId="77777777"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16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480/2014,</w:t>
      </w:r>
      <w:r w:rsidR="00656606">
        <w:rPr>
          <w:rFonts w:ascii="Calibri" w:hAnsi="Calibri"/>
        </w:rPr>
        <w:t xml:space="preserve"> </w:t>
      </w:r>
    </w:p>
    <w:p w14:paraId="48D66C58" w14:textId="77777777"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17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14:paraId="65075AB6" w14:textId="77777777"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17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proofErr w:type="spellStart"/>
      <w:r w:rsidRPr="00EB7EAA">
        <w:rPr>
          <w:rFonts w:ascii="Calibri" w:hAnsi="Calibri"/>
        </w:rPr>
        <w:t>rozp</w:t>
      </w:r>
      <w:proofErr w:type="spellEnd"/>
      <w:r w:rsidR="0073486C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14:paraId="662FE3CA" w14:textId="77777777"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rezydualna.</w:t>
      </w:r>
      <w:r w:rsidR="00656606">
        <w:rPr>
          <w:rFonts w:ascii="Calibri" w:hAnsi="Calibri"/>
        </w:rPr>
        <w:t xml:space="preserve"> </w:t>
      </w:r>
    </w:p>
    <w:p w14:paraId="564296E5" w14:textId="77777777" w:rsidR="001F7EE5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8.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odtworzeniowe)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powiększa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rezydualną.</w:t>
      </w:r>
      <w:r w:rsidR="00656606">
        <w:rPr>
          <w:sz w:val="24"/>
          <w:szCs w:val="24"/>
        </w:rPr>
        <w:t xml:space="preserve"> </w:t>
      </w:r>
    </w:p>
    <w:p w14:paraId="53A3B937" w14:textId="77777777" w:rsidR="006A54DE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9.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Algorytm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poniżej:</w:t>
      </w:r>
    </w:p>
    <w:p w14:paraId="4B054DA5" w14:textId="77777777"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1.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wskaźnika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luki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finansowaniu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(R):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14:paraId="2580848A" w14:textId="77777777" w:rsidR="00ED6572" w:rsidRPr="001C3F75" w:rsidRDefault="00ED6572" w:rsidP="0073486C">
      <w:pPr>
        <w:jc w:val="center"/>
        <w:rPr>
          <w:rFonts w:eastAsia="Times New Roman" w:cs="Arial"/>
          <w:szCs w:val="24"/>
          <w:lang w:val="en-US" w:eastAsia="pl-PL"/>
        </w:rPr>
      </w:pPr>
      <w:r w:rsidRPr="001C3F75">
        <w:rPr>
          <w:rFonts w:eastAsia="Times New Roman" w:cs="Arial"/>
          <w:b/>
          <w:bCs/>
          <w:szCs w:val="24"/>
          <w:lang w:val="en-US" w:eastAsia="pl-PL"/>
        </w:rPr>
        <w:t>R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=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(DIC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–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DNR)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/</w:t>
      </w:r>
      <w:r w:rsidR="00656606" w:rsidRPr="001C3F75">
        <w:rPr>
          <w:rFonts w:eastAsia="Times New Roman" w:cs="Arial"/>
          <w:b/>
          <w:bCs/>
          <w:szCs w:val="24"/>
          <w:lang w:val="en-US" w:eastAsia="pl-PL"/>
        </w:rPr>
        <w:t xml:space="preserve"> </w:t>
      </w:r>
      <w:r w:rsidRPr="001C3F75">
        <w:rPr>
          <w:rFonts w:eastAsia="Times New Roman" w:cs="Arial"/>
          <w:b/>
          <w:bCs/>
          <w:szCs w:val="24"/>
          <w:lang w:val="en-US" w:eastAsia="pl-PL"/>
        </w:rPr>
        <w:t>DIC</w:t>
      </w:r>
    </w:p>
    <w:p w14:paraId="4E69748E" w14:textId="77777777" w:rsidR="00ED6572" w:rsidRPr="001C3F75" w:rsidRDefault="00ED6572" w:rsidP="00EB7EAA">
      <w:pPr>
        <w:jc w:val="both"/>
        <w:rPr>
          <w:rFonts w:eastAsia="Times New Roman" w:cs="Arial"/>
          <w:szCs w:val="24"/>
          <w:lang w:val="en-US" w:eastAsia="pl-PL"/>
        </w:rPr>
      </w:pPr>
      <w:proofErr w:type="spellStart"/>
      <w:r w:rsidRPr="001C3F75">
        <w:rPr>
          <w:rFonts w:eastAsia="Times New Roman" w:cs="Arial"/>
          <w:szCs w:val="24"/>
          <w:lang w:val="en-US" w:eastAsia="pl-PL"/>
        </w:rPr>
        <w:t>gdzie</w:t>
      </w:r>
      <w:proofErr w:type="spellEnd"/>
      <w:r w:rsidRPr="001C3F75">
        <w:rPr>
          <w:rFonts w:eastAsia="Times New Roman" w:cs="Arial"/>
          <w:szCs w:val="24"/>
          <w:lang w:val="en-US" w:eastAsia="pl-PL"/>
        </w:rPr>
        <w:t>:</w:t>
      </w:r>
      <w:r w:rsidR="00656606" w:rsidRPr="001C3F75">
        <w:rPr>
          <w:rFonts w:eastAsia="Times New Roman" w:cs="Arial"/>
          <w:szCs w:val="24"/>
          <w:lang w:val="en-US" w:eastAsia="pl-PL"/>
        </w:rPr>
        <w:t xml:space="preserve"> </w:t>
      </w:r>
    </w:p>
    <w:p w14:paraId="3EA93DEF" w14:textId="77777777" w:rsidR="00ED6572" w:rsidRPr="00EB7EAA" w:rsidRDefault="00656606" w:rsidP="00EB7EAA">
      <w:pPr>
        <w:jc w:val="both"/>
        <w:rPr>
          <w:rFonts w:eastAsia="Times New Roman" w:cs="Arial"/>
          <w:szCs w:val="24"/>
          <w:lang w:eastAsia="pl-PL"/>
        </w:rPr>
      </w:pPr>
      <w:r w:rsidRPr="001C3F75">
        <w:rPr>
          <w:rFonts w:eastAsia="Times New Roman" w:cs="Arial"/>
          <w:szCs w:val="24"/>
          <w:lang w:val="en-US"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DIC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suma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zdyskontowanych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nakładów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inwestycyjnych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realizację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bez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rezerw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nieprzewidziane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wydatki,</w:t>
      </w:r>
      <w:r>
        <w:rPr>
          <w:rFonts w:eastAsia="Times New Roman" w:cs="Arial"/>
          <w:szCs w:val="24"/>
          <w:lang w:eastAsia="pl-PL"/>
        </w:rPr>
        <w:t xml:space="preserve"> </w:t>
      </w:r>
    </w:p>
    <w:p w14:paraId="7DB9C533" w14:textId="77777777" w:rsidR="00BB5E04" w:rsidRPr="00EB7EAA" w:rsidRDefault="00656606" w:rsidP="00EB7EAA">
      <w:pPr>
        <w:jc w:val="both"/>
        <w:rPr>
          <w:rFonts w:eastAsia="Times New Roman" w:cs="Arial"/>
          <w:i/>
          <w:iCs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DNR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suma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zdyskontowanych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dochodów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powiększonych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wartość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rezydualną</w:t>
      </w:r>
      <w:r w:rsidR="00ED6572" w:rsidRPr="00EB7EAA">
        <w:rPr>
          <w:rFonts w:eastAsia="Times New Roman" w:cs="Arial"/>
          <w:i/>
          <w:iCs/>
          <w:szCs w:val="24"/>
          <w:lang w:eastAsia="pl-PL"/>
        </w:rPr>
        <w:t>.</w:t>
      </w:r>
    </w:p>
    <w:p w14:paraId="5ACF2B63" w14:textId="77777777"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2.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kosztów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kwalifikowalnych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skorygowanych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wskaźnik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luki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</w:t>
      </w:r>
      <w:r w:rsidR="00AA6D7A">
        <w:rPr>
          <w:rFonts w:ascii="Calibri" w:eastAsia="Times New Roman" w:hAnsi="Calibri"/>
          <w:b/>
          <w:bCs/>
        </w:rPr>
        <w:t> </w:t>
      </w:r>
      <w:r w:rsidRPr="00EB7EAA">
        <w:rPr>
          <w:rFonts w:ascii="Calibri" w:eastAsia="Times New Roman" w:hAnsi="Calibri"/>
          <w:b/>
          <w:bCs/>
        </w:rPr>
        <w:t>finansowaniu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(ECR):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14:paraId="58C06A87" w14:textId="77777777" w:rsidR="00ED6572" w:rsidRPr="00EB7EAA" w:rsidRDefault="00ED6572" w:rsidP="0073486C">
      <w:pPr>
        <w:jc w:val="center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bCs/>
          <w:szCs w:val="24"/>
          <w:lang w:eastAsia="pl-PL"/>
        </w:rPr>
        <w:t>ECR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=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EC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*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R</w:t>
      </w:r>
    </w:p>
    <w:p w14:paraId="68C396A8" w14:textId="77777777" w:rsidR="00ED6572" w:rsidRPr="00EB7EAA" w:rsidRDefault="00ED6572" w:rsidP="0073486C">
      <w:pPr>
        <w:keepNext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gdzie: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14:paraId="32778E2A" w14:textId="77777777" w:rsidR="00ED6572" w:rsidRPr="00EB7EAA" w:rsidRDefault="00656606" w:rsidP="00EB7EAA">
      <w:pPr>
        <w:jc w:val="both"/>
        <w:rPr>
          <w:rFonts w:eastAsia="Times New Roman" w:cs="Arial"/>
          <w:i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EC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całkowite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koszty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kwalifikowalne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(niezdyskontowane),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spełniające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kryteria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kwalifikowalności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prawnej,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tj.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zgodne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art.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65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rozporządzenia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nr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1303/2013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oraz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</w:t>
      </w:r>
      <w:r w:rsidR="00C6095C">
        <w:rPr>
          <w:rFonts w:eastAsia="Times New Roman" w:cs="Arial"/>
          <w:szCs w:val="24"/>
          <w:lang w:eastAsia="pl-PL"/>
        </w:rPr>
        <w:t> </w:t>
      </w:r>
      <w:r w:rsidR="00ED6572" w:rsidRPr="00EB7EAA">
        <w:rPr>
          <w:rFonts w:eastAsia="Times New Roman" w:cs="Arial"/>
          <w:i/>
          <w:szCs w:val="24"/>
          <w:lang w:eastAsia="pl-PL"/>
        </w:rPr>
        <w:t>Wytycznymi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w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zakresie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kwalifikowalności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wydatków.</w:t>
      </w:r>
    </w:p>
    <w:p w14:paraId="2F95A0A6" w14:textId="77777777"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3.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(maksymalnej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możliwej)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dotacji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UE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(Dotacja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UE):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14:paraId="1A40CD69" w14:textId="77777777" w:rsidR="00ED6572" w:rsidRPr="00EB7EAA" w:rsidRDefault="00ED6572" w:rsidP="0073486C">
      <w:pPr>
        <w:jc w:val="center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bCs/>
          <w:szCs w:val="24"/>
          <w:lang w:eastAsia="pl-PL"/>
        </w:rPr>
        <w:t>Dotacja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UE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=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ECR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*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Max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proofErr w:type="spellStart"/>
      <w:r w:rsidRPr="00EB7EAA">
        <w:rPr>
          <w:rFonts w:eastAsia="Times New Roman" w:cs="Arial"/>
          <w:b/>
          <w:bCs/>
          <w:szCs w:val="24"/>
          <w:lang w:eastAsia="pl-PL"/>
        </w:rPr>
        <w:t>CR</w:t>
      </w:r>
      <w:r w:rsidRPr="00784A29">
        <w:rPr>
          <w:rFonts w:eastAsia="Times New Roman" w:cs="Arial"/>
          <w:b/>
          <w:bCs/>
          <w:szCs w:val="24"/>
          <w:vertAlign w:val="subscript"/>
          <w:lang w:eastAsia="pl-PL"/>
        </w:rPr>
        <w:t>pa</w:t>
      </w:r>
      <w:proofErr w:type="spellEnd"/>
    </w:p>
    <w:p w14:paraId="4314E519" w14:textId="77777777" w:rsidR="00ED6572" w:rsidRPr="00EB7EAA" w:rsidRDefault="00ED6572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gdzie: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14:paraId="13A5D384" w14:textId="77777777" w:rsidR="00ED6572" w:rsidRPr="00EB7EAA" w:rsidRDefault="00656606" w:rsidP="00EB7EAA">
      <w:pPr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Max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proofErr w:type="spellStart"/>
      <w:r w:rsidR="00ED6572" w:rsidRPr="00EB7EAA">
        <w:rPr>
          <w:rFonts w:eastAsia="Times New Roman" w:cs="Arial"/>
          <w:b/>
          <w:bCs/>
          <w:szCs w:val="24"/>
          <w:lang w:eastAsia="pl-PL"/>
        </w:rPr>
        <w:t>CR</w:t>
      </w:r>
      <w:r w:rsidR="00ED6572" w:rsidRPr="00784A29">
        <w:rPr>
          <w:rFonts w:eastAsia="Times New Roman" w:cs="Arial"/>
          <w:b/>
          <w:bCs/>
          <w:szCs w:val="24"/>
          <w:vertAlign w:val="subscript"/>
          <w:lang w:eastAsia="pl-PL"/>
        </w:rPr>
        <w:t>pa</w:t>
      </w:r>
      <w:proofErr w:type="spellEnd"/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maksymalna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wielkość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współfinansowania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określona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dla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osi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priorytetowej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 w:rsidR="005B0F39">
        <w:rPr>
          <w:rFonts w:eastAsia="Times New Roman" w:cs="Arial"/>
          <w:szCs w:val="24"/>
          <w:lang w:eastAsia="pl-PL"/>
        </w:rPr>
        <w:t> </w:t>
      </w:r>
      <w:r w:rsidR="00ED6572" w:rsidRPr="00EB7EAA">
        <w:rPr>
          <w:rFonts w:eastAsia="Times New Roman" w:cs="Arial"/>
          <w:szCs w:val="24"/>
          <w:lang w:eastAsia="pl-PL"/>
        </w:rPr>
        <w:t>decyzji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Komisji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przyjmującej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program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operacyjny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(art.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60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ust.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1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rozporządzenia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nr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1303/2013).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przypadku,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którym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ramach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priorytetu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zróżnicowany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został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poziom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poszczególnych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działaniach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lub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konkursach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względu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rodzaj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projektu/beneficjenta,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stosuje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się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stopę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właściwą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dla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danego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rodzaju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projektu/beneficjenta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ramach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określonego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działania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lub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konkursu.</w:t>
      </w:r>
      <w:r>
        <w:rPr>
          <w:rFonts w:eastAsia="Times New Roman" w:cs="Arial"/>
          <w:szCs w:val="24"/>
          <w:lang w:eastAsia="pl-PL"/>
        </w:rPr>
        <w:t xml:space="preserve"> </w:t>
      </w:r>
    </w:p>
    <w:p w14:paraId="5BB023DA" w14:textId="77777777" w:rsidR="004870D5" w:rsidRPr="00EB7EAA" w:rsidRDefault="004870D5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10.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E7AF7" w:rsidRPr="00EB7EAA">
        <w:rPr>
          <w:rFonts w:eastAsia="Times New Roman" w:cs="Arial"/>
          <w:szCs w:val="24"/>
          <w:lang w:eastAsia="pl-PL"/>
        </w:rPr>
        <w:t>przypadku,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gdy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mamy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czynienia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generującym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dochód,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którym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występuje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jedna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form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wymieniona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61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8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rozporządzenia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nr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1303/2013,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dofinansowania,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określona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metodą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lastRenderedPageBreak/>
        <w:t>opisaną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niniejszym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</w:t>
      </w:r>
      <w:r w:rsidR="006A340F" w:rsidRPr="00EB7EAA">
        <w:rPr>
          <w:rFonts w:eastAsia="Times New Roman" w:cs="Arial"/>
          <w:szCs w:val="24"/>
          <w:lang w:eastAsia="pl-PL"/>
        </w:rPr>
        <w:t>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6.6</w:t>
      </w:r>
      <w:r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może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przekraczać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maksymalnej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dopuszczalnej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intensywności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tego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wynikającej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zasad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publicznej.</w:t>
      </w:r>
    </w:p>
    <w:p w14:paraId="0F5C452E" w14:textId="77777777" w:rsidR="007127E2" w:rsidRPr="00EB7EAA" w:rsidRDefault="004870D5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t>Przykłady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ustalenia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wartości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dofinansowania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funduszy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oparc</w:t>
      </w:r>
      <w:r w:rsidR="00100A23" w:rsidRPr="00EB7EAA">
        <w:rPr>
          <w:rFonts w:eastAsia="Times New Roman" w:cs="Arial"/>
          <w:b/>
          <w:szCs w:val="24"/>
          <w:lang w:eastAsia="pl-PL"/>
        </w:rPr>
        <w:t>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metodę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luki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w</w:t>
      </w:r>
      <w:r w:rsidR="004E7AF7">
        <w:rPr>
          <w:rFonts w:eastAsia="Times New Roman" w:cs="Arial"/>
          <w:b/>
          <w:szCs w:val="24"/>
          <w:lang w:eastAsia="pl-PL"/>
        </w:rPr>
        <w:t> </w:t>
      </w:r>
      <w:r w:rsidR="00100A23" w:rsidRPr="00EB7EAA">
        <w:rPr>
          <w:rFonts w:eastAsia="Times New Roman" w:cs="Arial"/>
          <w:b/>
          <w:szCs w:val="24"/>
          <w:lang w:eastAsia="pl-PL"/>
        </w:rPr>
        <w:t>finansowaniu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zostały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przedstawione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Załączniku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3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2020</w:t>
      </w:r>
      <w:r w:rsidRPr="00EB7EAA">
        <w:rPr>
          <w:b/>
          <w:szCs w:val="24"/>
          <w:lang w:eastAsia="pl-PL"/>
        </w:rPr>
        <w:t>,</w:t>
      </w:r>
      <w:r w:rsidR="00656606">
        <w:rPr>
          <w:b/>
          <w:szCs w:val="24"/>
          <w:lang w:eastAsia="pl-PL"/>
        </w:rPr>
        <w:t xml:space="preserve"> </w:t>
      </w:r>
      <w:r w:rsidR="007127E2"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R</w:t>
      </w:r>
      <w:r w:rsidR="007127E2" w:rsidRPr="00EB7EAA">
        <w:rPr>
          <w:b/>
          <w:szCs w:val="24"/>
          <w:lang w:eastAsia="pl-PL"/>
        </w:rPr>
        <w:t>ozwoju.</w:t>
      </w:r>
    </w:p>
    <w:p w14:paraId="61D6A729" w14:textId="77777777" w:rsidR="006A54DE" w:rsidRPr="00EB7EAA" w:rsidRDefault="007127E2" w:rsidP="00EB7EAA">
      <w:pPr>
        <w:pStyle w:val="Nagwek2"/>
        <w:jc w:val="both"/>
        <w:rPr>
          <w:i/>
        </w:rPr>
      </w:pPr>
      <w:bookmarkStart w:id="31" w:name="_Toc21079598"/>
      <w:r w:rsidRPr="00EB7EAA">
        <w:t>Metoda</w:t>
      </w:r>
      <w:r w:rsidR="00656606">
        <w:t xml:space="preserve"> </w:t>
      </w:r>
      <w:r w:rsidRPr="00EB7EAA">
        <w:t>zryczałtowanych</w:t>
      </w:r>
      <w:r w:rsidR="00656606">
        <w:t xml:space="preserve"> </w:t>
      </w:r>
      <w:r w:rsidRPr="00EB7EAA">
        <w:t>procentowych</w:t>
      </w:r>
      <w:r w:rsidR="00656606">
        <w:t xml:space="preserve"> </w:t>
      </w:r>
      <w:r w:rsidRPr="00EB7EAA">
        <w:t>stawek</w:t>
      </w:r>
      <w:r w:rsidR="00656606">
        <w:t xml:space="preserve"> </w:t>
      </w:r>
      <w:r w:rsidRPr="00EB7EAA">
        <w:t>dochodów</w:t>
      </w:r>
      <w:bookmarkEnd w:id="31"/>
      <w:r w:rsidR="00656606">
        <w:t xml:space="preserve"> </w:t>
      </w:r>
    </w:p>
    <w:p w14:paraId="02D7CB9B" w14:textId="77777777" w:rsidR="005166BE" w:rsidRPr="00EB7EAA" w:rsidRDefault="005166BE" w:rsidP="00EB7EAA">
      <w:pPr>
        <w:jc w:val="both"/>
        <w:rPr>
          <w:b/>
          <w:szCs w:val="24"/>
        </w:rPr>
      </w:pPr>
      <w:r w:rsidRPr="00EB7EAA">
        <w:rPr>
          <w:szCs w:val="24"/>
        </w:rPr>
        <w:t>1.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61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ust.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3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a)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ust.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5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1303/2013,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obok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znanej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4E7AF7">
        <w:rPr>
          <w:szCs w:val="24"/>
        </w:rPr>
        <w:t> </w:t>
      </w:r>
      <w:r w:rsidR="007127E2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programowania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2007</w:t>
      </w:r>
      <w:r w:rsidR="00656606">
        <w:rPr>
          <w:szCs w:val="24"/>
        </w:rPr>
        <w:t xml:space="preserve"> </w:t>
      </w:r>
      <w:r w:rsidR="00415E30">
        <w:rPr>
          <w:szCs w:val="24"/>
        </w:rPr>
        <w:t>–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2013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kalkulacji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finansowaniu,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wybranych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sektorów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podsektorów,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wprowadzone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zostały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zryczałtowane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procentowe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stawki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dochodów.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stawek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zryczałtowanych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eliminuje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obliczania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indywidualną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projektów.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Zamiast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przyjęte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założenie,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należące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typu,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sektora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podsektora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generują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poziom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dochodów,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idzie,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występuje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nich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góry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poziom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finansowaniu.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podkreślić,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miała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przypadku,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dany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został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uprzednio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zidentyfikowany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generujący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dochód,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tzn.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zdyskontowane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przychody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przewyższają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odtworzenia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wyposażenia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krótkotrwałego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odniesienia,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uwzględnienia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rezydualnej</w:t>
      </w:r>
      <w:r w:rsidR="00BA1725" w:rsidRPr="00EB7EAA">
        <w:rPr>
          <w:szCs w:val="24"/>
        </w:rPr>
        <w:t>.</w:t>
      </w:r>
      <w:r w:rsidR="00656606">
        <w:rPr>
          <w:b/>
          <w:szCs w:val="24"/>
        </w:rPr>
        <w:t xml:space="preserve"> </w:t>
      </w:r>
    </w:p>
    <w:p w14:paraId="2BAAA884" w14:textId="77777777" w:rsidR="00BA1725" w:rsidRPr="00EB7EAA" w:rsidRDefault="005166BE" w:rsidP="00EB7EAA">
      <w:pPr>
        <w:jc w:val="both"/>
        <w:rPr>
          <w:szCs w:val="24"/>
        </w:rPr>
      </w:pPr>
      <w:r w:rsidRPr="00EB7EAA">
        <w:rPr>
          <w:szCs w:val="24"/>
        </w:rPr>
        <w:t>2.</w:t>
      </w:r>
      <w:r w:rsidR="00656606">
        <w:rPr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Rozporządzenie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1303/2013,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Załączniku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V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Określenie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stawek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zryczałtowanych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dla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projektów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generujących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dochód,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określiło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zryczałtowane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procentowe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dochodów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wy</w:t>
      </w:r>
      <w:r w:rsidRPr="00EB7EAA">
        <w:rPr>
          <w:rFonts w:cs="Calibri,Italic"/>
          <w:iCs/>
          <w:szCs w:val="24"/>
        </w:rPr>
        <w:t>branych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sektorów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podsektorów,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przedstawiają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następująco:</w:t>
      </w:r>
    </w:p>
    <w:tbl>
      <w:tblPr>
        <w:tblW w:w="2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2040"/>
        <w:gridCol w:w="2130"/>
      </w:tblGrid>
      <w:tr w:rsidR="005166BE" w:rsidRPr="00EB7EAA" w14:paraId="0C714633" w14:textId="77777777" w:rsidTr="006433F3">
        <w:trPr>
          <w:trHeight w:val="567"/>
          <w:jc w:val="center"/>
        </w:trPr>
        <w:tc>
          <w:tcPr>
            <w:tcW w:w="703" w:type="pct"/>
            <w:shd w:val="clear" w:color="auto" w:fill="BFBFBF"/>
            <w:vAlign w:val="center"/>
          </w:tcPr>
          <w:p w14:paraId="4D0F9411" w14:textId="77777777" w:rsidR="005166BE" w:rsidRPr="00EB7EAA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02" w:type="pct"/>
            <w:shd w:val="clear" w:color="auto" w:fill="BFBFBF"/>
            <w:vAlign w:val="center"/>
          </w:tcPr>
          <w:p w14:paraId="69B01EEC" w14:textId="77777777" w:rsidR="005166BE" w:rsidRPr="00EB7EAA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2195" w:type="pct"/>
            <w:shd w:val="clear" w:color="auto" w:fill="BFBFBF"/>
            <w:vAlign w:val="center"/>
          </w:tcPr>
          <w:p w14:paraId="249F4044" w14:textId="77777777" w:rsidR="005166BE" w:rsidRPr="006433F3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Stawki</w:t>
            </w:r>
            <w:r w:rsidR="00964AE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zryczałtowane</w:t>
            </w:r>
          </w:p>
        </w:tc>
      </w:tr>
      <w:tr w:rsidR="005166BE" w:rsidRPr="00EB7EAA" w14:paraId="7C422BA5" w14:textId="77777777" w:rsidTr="005166BE">
        <w:trPr>
          <w:trHeight w:val="103"/>
          <w:jc w:val="center"/>
        </w:trPr>
        <w:tc>
          <w:tcPr>
            <w:tcW w:w="703" w:type="pct"/>
          </w:tcPr>
          <w:p w14:paraId="709ECFAB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02" w:type="pct"/>
          </w:tcPr>
          <w:p w14:paraId="1791B55B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Drogi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5" w:type="pct"/>
          </w:tcPr>
          <w:p w14:paraId="4BE71CA1" w14:textId="77777777"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30%</w:t>
            </w:r>
          </w:p>
        </w:tc>
      </w:tr>
      <w:tr w:rsidR="005166BE" w:rsidRPr="00EB7EAA" w14:paraId="49238A5D" w14:textId="77777777" w:rsidTr="005166BE">
        <w:trPr>
          <w:trHeight w:val="103"/>
          <w:jc w:val="center"/>
        </w:trPr>
        <w:tc>
          <w:tcPr>
            <w:tcW w:w="703" w:type="pct"/>
          </w:tcPr>
          <w:p w14:paraId="11914D02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102" w:type="pct"/>
          </w:tcPr>
          <w:p w14:paraId="0E440724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Koleje</w:t>
            </w:r>
          </w:p>
        </w:tc>
        <w:tc>
          <w:tcPr>
            <w:tcW w:w="2195" w:type="pct"/>
          </w:tcPr>
          <w:p w14:paraId="62D2B982" w14:textId="77777777"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  <w:tr w:rsidR="005166BE" w:rsidRPr="00EB7EAA" w14:paraId="200B1AED" w14:textId="77777777" w:rsidTr="005166BE">
        <w:trPr>
          <w:trHeight w:val="103"/>
          <w:jc w:val="center"/>
        </w:trPr>
        <w:tc>
          <w:tcPr>
            <w:tcW w:w="703" w:type="pct"/>
          </w:tcPr>
          <w:p w14:paraId="737FFF54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02" w:type="pct"/>
          </w:tcPr>
          <w:p w14:paraId="107328CA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Transport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miejski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5" w:type="pct"/>
          </w:tcPr>
          <w:p w14:paraId="2CF076D2" w14:textId="77777777"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  <w:tr w:rsidR="005166BE" w:rsidRPr="00EB7EAA" w14:paraId="22A5CB37" w14:textId="77777777" w:rsidTr="005166BE">
        <w:trPr>
          <w:trHeight w:val="103"/>
          <w:jc w:val="center"/>
        </w:trPr>
        <w:tc>
          <w:tcPr>
            <w:tcW w:w="703" w:type="pct"/>
          </w:tcPr>
          <w:p w14:paraId="6514B842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102" w:type="pct"/>
          </w:tcPr>
          <w:p w14:paraId="66EDA4B9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wodna</w:t>
            </w:r>
          </w:p>
        </w:tc>
        <w:tc>
          <w:tcPr>
            <w:tcW w:w="2195" w:type="pct"/>
          </w:tcPr>
          <w:p w14:paraId="45D54ADD" w14:textId="77777777"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25%</w:t>
            </w:r>
          </w:p>
        </w:tc>
      </w:tr>
      <w:tr w:rsidR="005166BE" w:rsidRPr="00EB7EAA" w14:paraId="5176D864" w14:textId="77777777" w:rsidTr="005166BE">
        <w:trPr>
          <w:trHeight w:val="103"/>
          <w:jc w:val="center"/>
        </w:trPr>
        <w:tc>
          <w:tcPr>
            <w:tcW w:w="703" w:type="pct"/>
          </w:tcPr>
          <w:p w14:paraId="4D71C908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102" w:type="pct"/>
          </w:tcPr>
          <w:p w14:paraId="213A1FC2" w14:textId="77777777"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Odpady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stałe</w:t>
            </w:r>
          </w:p>
        </w:tc>
        <w:tc>
          <w:tcPr>
            <w:tcW w:w="2195" w:type="pct"/>
          </w:tcPr>
          <w:p w14:paraId="4DE125E0" w14:textId="77777777"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</w:tbl>
    <w:p w14:paraId="5758623F" w14:textId="77777777" w:rsidR="000C2B2F" w:rsidRPr="00EB7EAA" w:rsidRDefault="00BA172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Zgodnie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uzasadnionych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uprawniona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modyfikowania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powyższych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stawek.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lastRenderedPageBreak/>
        <w:t>Zmiana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taka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będzie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ewentualnie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wprowadzana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trybie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delegowanego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rozumieniu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149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ww.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Powyższy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powinien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szczegółowo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uregulować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tryb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wejścia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życie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zmodyfikowanej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zryczałtowanej.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sytuacji,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Europejska,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korzystając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916F0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uprawnienia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nadanego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delegowane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określające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ryczałtowe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technologii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informacyjnych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komunikacyjnych,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badań,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innowacyjności</w:t>
      </w:r>
      <w:r w:rsidR="000C2B2F" w:rsidRPr="00EB7EAA">
        <w:rPr>
          <w:rStyle w:val="Odwoanieprzypisudolnego"/>
          <w:rFonts w:cs="Calibri,Italic"/>
          <w:iCs/>
          <w:szCs w:val="24"/>
        </w:rPr>
        <w:footnoteReference w:id="25"/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także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efektywności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energetycznej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sektorów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podsektorów,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stosować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wartości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stawek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przedmiotowych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aktach.</w:t>
      </w:r>
      <w:r w:rsidR="00656606">
        <w:rPr>
          <w:rFonts w:cs="Calibri,Italic"/>
          <w:iCs/>
          <w:szCs w:val="24"/>
        </w:rPr>
        <w:t xml:space="preserve"> </w:t>
      </w:r>
    </w:p>
    <w:p w14:paraId="74BDF6A1" w14:textId="77777777" w:rsidR="006A54DE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3.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zależności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Instytucji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Zarządzającej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RPOWŚ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916F0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Regulaminie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konkursu,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dwa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tryby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wykorzystania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metody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obliczenia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poziomu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projektu:</w:t>
      </w:r>
      <w:r w:rsidR="00656606">
        <w:rPr>
          <w:rFonts w:cs="Calibri,Italic"/>
          <w:iCs/>
          <w:szCs w:val="24"/>
        </w:rPr>
        <w:t xml:space="preserve"> </w:t>
      </w:r>
    </w:p>
    <w:p w14:paraId="36AB8656" w14:textId="77777777" w:rsidR="00B65756" w:rsidRPr="00EB7EAA" w:rsidRDefault="000C2B2F" w:rsidP="000029BB">
      <w:pPr>
        <w:pStyle w:val="Default"/>
        <w:numPr>
          <w:ilvl w:val="0"/>
          <w:numId w:val="15"/>
        </w:numPr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Tryb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1.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iCs/>
        </w:rPr>
        <w:t>Obliczenie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wartości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dla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projektu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oparciu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wskaźnik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luki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finansowaniu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(R),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który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wynikać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będzie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przyjętej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danym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sektorze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podsektorze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zryczałtowanej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procentowej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stawki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dochodów:</w:t>
      </w:r>
      <w:r w:rsidR="00656606">
        <w:rPr>
          <w:rFonts w:ascii="Calibri" w:hAnsi="Calibri" w:cs="Calibri,Italic"/>
          <w:iCs/>
        </w:rPr>
        <w:t xml:space="preserve"> </w:t>
      </w:r>
    </w:p>
    <w:p w14:paraId="6D4D50DB" w14:textId="77777777" w:rsidR="000C2B2F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iCs/>
        </w:rPr>
        <w:t xml:space="preserve"> </w:t>
      </w:r>
      <w:r w:rsidR="00415E30">
        <w:rPr>
          <w:rFonts w:ascii="Calibri" w:hAnsi="Calibri" w:cs="Calibri,Italic"/>
          <w:b/>
          <w:iCs/>
        </w:rPr>
        <w:t>–</w:t>
      </w:r>
      <w:r>
        <w:rPr>
          <w:rFonts w:ascii="Calibri" w:hAnsi="Calibri" w:cs="Calibri,Italic"/>
          <w:b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1.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wskaźnika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luki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w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finansowaniu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(R):</w:t>
      </w:r>
      <w:r>
        <w:rPr>
          <w:rFonts w:ascii="Calibri" w:hAnsi="Calibri" w:cs="Calibri,Italic"/>
          <w:b/>
          <w:bCs/>
          <w:iCs/>
        </w:rPr>
        <w:t xml:space="preserve"> </w:t>
      </w:r>
    </w:p>
    <w:p w14:paraId="4A23C391" w14:textId="77777777" w:rsidR="006A54DE" w:rsidRPr="00EB7EAA" w:rsidRDefault="000C2B2F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100%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15E30">
        <w:rPr>
          <w:rFonts w:cs="Calibri,Italic"/>
          <w:b/>
          <w:bCs/>
          <w:iCs/>
          <w:szCs w:val="24"/>
        </w:rPr>
        <w:t>–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FR</w:t>
      </w:r>
    </w:p>
    <w:p w14:paraId="59125BA1" w14:textId="77777777" w:rsidR="000C2B2F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gdzie:</w:t>
      </w:r>
      <w:r w:rsidR="00656606">
        <w:rPr>
          <w:rFonts w:cs="Calibri,Italic"/>
          <w:iCs/>
          <w:szCs w:val="24"/>
        </w:rPr>
        <w:t xml:space="preserve"> </w:t>
      </w:r>
    </w:p>
    <w:p w14:paraId="3052140B" w14:textId="77777777" w:rsidR="00B65756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FR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procentowa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dochodów</w:t>
      </w:r>
    </w:p>
    <w:p w14:paraId="57D7BAB1" w14:textId="77777777" w:rsidR="000C2B2F" w:rsidRPr="00EB7EAA" w:rsidRDefault="00656606" w:rsidP="002C050D">
      <w:pPr>
        <w:autoSpaceDE w:val="0"/>
        <w:autoSpaceDN w:val="0"/>
        <w:adjustRightInd w:val="0"/>
        <w:spacing w:after="0"/>
        <w:ind w:left="708"/>
        <w:jc w:val="both"/>
        <w:rPr>
          <w:rFonts w:cs="Calibri,Italic"/>
          <w:iCs/>
        </w:rPr>
      </w:pPr>
      <w:r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b/>
          <w:iCs/>
        </w:rPr>
        <w:t>–</w:t>
      </w:r>
      <w:r>
        <w:rPr>
          <w:rFonts w:cs="Calibri,Italic"/>
          <w:b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krok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2.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Określenie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kosztów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kwalifikowalnych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skorygowanych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o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wskaźnik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luki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w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finansowaniu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(ECR):</w:t>
      </w:r>
      <w:r>
        <w:rPr>
          <w:rFonts w:cs="Calibri,Italic"/>
          <w:b/>
          <w:bCs/>
          <w:iCs/>
        </w:rPr>
        <w:t xml:space="preserve"> </w:t>
      </w:r>
    </w:p>
    <w:p w14:paraId="0A220A32" w14:textId="77777777" w:rsidR="000C2B2F" w:rsidRPr="00EB7EAA" w:rsidRDefault="000C2B2F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ECR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EC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*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R</w:t>
      </w:r>
    </w:p>
    <w:p w14:paraId="56EDD73C" w14:textId="77777777" w:rsidR="000C2B2F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gdzie:</w:t>
      </w:r>
      <w:r w:rsidR="00656606">
        <w:rPr>
          <w:rFonts w:cs="Calibri,Italic"/>
          <w:iCs/>
          <w:szCs w:val="24"/>
        </w:rPr>
        <w:t xml:space="preserve"> </w:t>
      </w:r>
    </w:p>
    <w:p w14:paraId="7D67060A" w14:textId="77777777" w:rsidR="006A54DE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EC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całkowite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koszty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kwalifikowalne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(niezdyskontowane),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spełniające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kryteria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kwalifikowalności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prawnej,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tj.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zgodne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</w:t>
      </w:r>
      <w:r w:rsidR="00B65756" w:rsidRPr="00EB7EAA">
        <w:rPr>
          <w:rFonts w:cs="Calibri,Italic"/>
          <w:iCs/>
          <w:szCs w:val="24"/>
        </w:rPr>
        <w:t>5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C3327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Wytycznymi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</w:t>
      </w:r>
      <w:r w:rsidR="00B65756" w:rsidRPr="00EB7EAA">
        <w:rPr>
          <w:rFonts w:cs="Calibri,Italic"/>
          <w:iCs/>
          <w:szCs w:val="24"/>
        </w:rPr>
        <w:t>esie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kwalifikowalności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wydatków.</w:t>
      </w:r>
    </w:p>
    <w:p w14:paraId="745FA763" w14:textId="77777777"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3.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możliwej)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dotacji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(Dotacja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UE):</w:t>
      </w:r>
      <w:r>
        <w:rPr>
          <w:rFonts w:ascii="Calibri" w:hAnsi="Calibri" w:cs="Calibri,Italic"/>
          <w:b/>
          <w:bCs/>
          <w:iCs/>
        </w:rPr>
        <w:t xml:space="preserve"> </w:t>
      </w:r>
    </w:p>
    <w:p w14:paraId="14A5879D" w14:textId="77777777" w:rsidR="00B65756" w:rsidRPr="00EB7EAA" w:rsidRDefault="00B65756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Dotacja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UE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ECR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*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Max</w:t>
      </w:r>
      <w:r w:rsidR="00656606">
        <w:rPr>
          <w:rFonts w:cs="Calibri,Italic"/>
          <w:b/>
          <w:bCs/>
          <w:iCs/>
          <w:szCs w:val="24"/>
        </w:rPr>
        <w:t xml:space="preserve"> </w:t>
      </w:r>
      <w:proofErr w:type="spellStart"/>
      <w:r w:rsidRPr="00EB7EAA">
        <w:rPr>
          <w:rFonts w:cs="Calibri,Italic"/>
          <w:b/>
          <w:bCs/>
          <w:iCs/>
          <w:szCs w:val="24"/>
        </w:rPr>
        <w:t>CR</w:t>
      </w:r>
      <w:r w:rsidRPr="00C33273">
        <w:rPr>
          <w:rFonts w:cs="Calibri,Italic"/>
          <w:b/>
          <w:bCs/>
          <w:iCs/>
          <w:szCs w:val="24"/>
          <w:vertAlign w:val="subscript"/>
        </w:rPr>
        <w:t>pa</w:t>
      </w:r>
      <w:proofErr w:type="spellEnd"/>
    </w:p>
    <w:p w14:paraId="2D50553F" w14:textId="77777777" w:rsidR="00B65756" w:rsidRPr="00EB7EAA" w:rsidRDefault="00B6575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lastRenderedPageBreak/>
        <w:t>gdzie:</w:t>
      </w:r>
      <w:r w:rsidR="00656606">
        <w:rPr>
          <w:rFonts w:cs="Calibri,Italic"/>
          <w:iCs/>
          <w:szCs w:val="24"/>
        </w:rPr>
        <w:t xml:space="preserve"> </w:t>
      </w:r>
    </w:p>
    <w:p w14:paraId="7DE3291A" w14:textId="77777777" w:rsidR="006A54DE" w:rsidRPr="00EB7EAA" w:rsidRDefault="00B6575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Max</w:t>
      </w:r>
      <w:r w:rsidR="00656606">
        <w:rPr>
          <w:rFonts w:cs="Calibri,Italic"/>
          <w:b/>
          <w:bCs/>
          <w:iCs/>
          <w:szCs w:val="24"/>
        </w:rPr>
        <w:t xml:space="preserve"> </w:t>
      </w:r>
      <w:proofErr w:type="spellStart"/>
      <w:r w:rsidRPr="00EB7EAA">
        <w:rPr>
          <w:rFonts w:cs="Calibri,Italic"/>
          <w:b/>
          <w:bCs/>
          <w:iCs/>
          <w:szCs w:val="24"/>
        </w:rPr>
        <w:t>CR</w:t>
      </w:r>
      <w:r w:rsidRPr="00C33273">
        <w:rPr>
          <w:rFonts w:cs="Calibri,Italic"/>
          <w:b/>
          <w:bCs/>
          <w:iCs/>
          <w:szCs w:val="24"/>
          <w:vertAlign w:val="subscript"/>
        </w:rPr>
        <w:t>pa</w:t>
      </w:r>
      <w:proofErr w:type="spellEnd"/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maksymalna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wielkość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współfinansowania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osi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priorytetowej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C3327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przyjmującej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program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operacyjny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1303/2013).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priorytetu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zróżnicowany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został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poziom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działaniach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względu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rodzaj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projektu/beneficjenta,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stosuje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stopę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właściwą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rodzaju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projektu/beneficjenta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działania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konkursu.</w:t>
      </w:r>
      <w:r w:rsidR="00656606">
        <w:rPr>
          <w:rFonts w:cs="Calibri,Italic"/>
          <w:iCs/>
          <w:szCs w:val="24"/>
        </w:rPr>
        <w:t xml:space="preserve"> </w:t>
      </w:r>
    </w:p>
    <w:p w14:paraId="0EACB4C6" w14:textId="77777777" w:rsidR="00B65756" w:rsidRPr="00EB7EAA" w:rsidRDefault="00B65756" w:rsidP="000029BB">
      <w:pPr>
        <w:pStyle w:val="Default"/>
        <w:numPr>
          <w:ilvl w:val="0"/>
          <w:numId w:val="15"/>
        </w:numPr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Tryb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2.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iCs/>
        </w:rPr>
        <w:t>Obniżenie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maksymalnego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poziomu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dla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danej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osi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priorytetowej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działania:</w:t>
      </w:r>
      <w:r w:rsidR="00656606">
        <w:rPr>
          <w:rFonts w:ascii="Calibri" w:hAnsi="Calibri" w:cs="Calibri,Italic"/>
          <w:iCs/>
        </w:rPr>
        <w:t xml:space="preserve"> </w:t>
      </w:r>
    </w:p>
    <w:p w14:paraId="129FB9D1" w14:textId="77777777"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bCs/>
          <w:iCs/>
        </w:rPr>
      </w:pPr>
      <w:r>
        <w:rPr>
          <w:rFonts w:ascii="Calibri" w:hAnsi="Calibri" w:cs="Calibri,Italic"/>
          <w:b/>
          <w:iCs/>
        </w:rPr>
        <w:t xml:space="preserve"> </w:t>
      </w:r>
      <w:r w:rsidR="00415E30">
        <w:rPr>
          <w:rFonts w:ascii="Calibri" w:hAnsi="Calibri" w:cs="Calibri,Italic"/>
          <w:b/>
          <w:iCs/>
        </w:rPr>
        <w:t>–</w:t>
      </w:r>
      <w:r>
        <w:rPr>
          <w:rFonts w:ascii="Calibri" w:hAnsi="Calibri" w:cs="Calibri,Italic"/>
          <w:b/>
          <w:iCs/>
        </w:rPr>
        <w:t xml:space="preserve"> </w:t>
      </w:r>
      <w:r w:rsidR="00B65756" w:rsidRPr="00EB7EAA">
        <w:rPr>
          <w:rFonts w:ascii="Calibri" w:hAnsi="Calibri" w:cs="Calibri,Italic"/>
          <w:b/>
          <w:iCs/>
        </w:rPr>
        <w:t>k</w:t>
      </w:r>
      <w:r w:rsidR="00B65756" w:rsidRPr="00EB7EAA">
        <w:rPr>
          <w:rFonts w:ascii="Calibri" w:hAnsi="Calibri" w:cs="Calibri,Italic"/>
          <w:b/>
          <w:bCs/>
          <w:iCs/>
        </w:rPr>
        <w:t>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1.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wskaźnika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luki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w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finansowaniu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(R):</w:t>
      </w:r>
    </w:p>
    <w:p w14:paraId="14A84F03" w14:textId="77777777" w:rsidR="00B65756" w:rsidRPr="00EB7EAA" w:rsidRDefault="00B65756" w:rsidP="002C050D">
      <w:pPr>
        <w:pStyle w:val="Default"/>
        <w:jc w:val="center"/>
        <w:rPr>
          <w:rFonts w:ascii="Calibri" w:hAnsi="Calibri" w:cs="Calibri,Italic"/>
          <w:b/>
          <w:iCs/>
        </w:rPr>
      </w:pPr>
      <w:r w:rsidRPr="00EB7EAA">
        <w:rPr>
          <w:rFonts w:ascii="Calibri" w:hAnsi="Calibri" w:cs="Calibri,Italic"/>
          <w:b/>
          <w:bCs/>
          <w:iCs/>
        </w:rPr>
        <w:t>R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=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100%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FR</w:t>
      </w:r>
    </w:p>
    <w:p w14:paraId="17EBCF87" w14:textId="77777777" w:rsidR="00B65756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iCs/>
        </w:rPr>
        <w:t>gdzie:</w:t>
      </w:r>
      <w:r w:rsidR="00656606">
        <w:rPr>
          <w:rFonts w:ascii="Calibri" w:hAnsi="Calibri" w:cs="Calibri,Italic"/>
          <w:iCs/>
        </w:rPr>
        <w:t xml:space="preserve"> </w:t>
      </w:r>
    </w:p>
    <w:p w14:paraId="4C8532AD" w14:textId="77777777" w:rsidR="006A54DE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FR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–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zryczałtowan</w:t>
      </w:r>
      <w:r w:rsidR="00100A23" w:rsidRPr="00EB7EAA">
        <w:rPr>
          <w:rFonts w:ascii="Calibri" w:hAnsi="Calibri" w:cs="Calibri,Italic"/>
          <w:iCs/>
        </w:rPr>
        <w:t>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procentowa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stawka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dochodów</w:t>
      </w:r>
    </w:p>
    <w:p w14:paraId="2CF5FF60" w14:textId="77777777"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2.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(maksymalnego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możliwego)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poziomu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dofinansowania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dla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danej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osi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priorytetowej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lub</w:t>
      </w:r>
      <w:r>
        <w:rPr>
          <w:rFonts w:ascii="Calibri" w:hAnsi="Calibri" w:cs="Calibri,Italic"/>
          <w:b/>
          <w:bCs/>
          <w:iCs/>
        </w:rPr>
        <w:t xml:space="preserve"> </w:t>
      </w:r>
      <w:r w:rsidR="00C33273" w:rsidRPr="00EB7EAA">
        <w:rPr>
          <w:rFonts w:ascii="Calibri" w:hAnsi="Calibri" w:cs="Calibri,Italic"/>
          <w:b/>
          <w:bCs/>
          <w:iCs/>
        </w:rPr>
        <w:t>działania</w:t>
      </w:r>
      <w:r w:rsidR="00C33273">
        <w:rPr>
          <w:rFonts w:ascii="Calibri" w:hAnsi="Calibri" w:cs="Calibri,Italic"/>
          <w:b/>
          <w:bCs/>
          <w:iCs/>
        </w:rPr>
        <w:t>:</w:t>
      </w:r>
      <w:r>
        <w:rPr>
          <w:rFonts w:ascii="Calibri" w:hAnsi="Calibri" w:cs="Calibri,Italic"/>
          <w:b/>
          <w:bCs/>
          <w:iCs/>
        </w:rPr>
        <w:t xml:space="preserve"> </w:t>
      </w:r>
    </w:p>
    <w:p w14:paraId="7452C842" w14:textId="77777777" w:rsidR="00B65756" w:rsidRPr="00EB7EAA" w:rsidRDefault="005C0085" w:rsidP="002C050D">
      <w:pPr>
        <w:pStyle w:val="Default"/>
        <w:jc w:val="center"/>
        <w:rPr>
          <w:rFonts w:ascii="Calibri" w:hAnsi="Calibri" w:cs="Calibri,Italic"/>
          <w:b/>
          <w:iCs/>
        </w:rPr>
      </w:pP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18"/>
          <w:szCs w:val="18"/>
          <w:vertAlign w:val="subscript"/>
        </w:rPr>
        <w:t>FR</w:t>
      </w:r>
      <w:r w:rsidR="00656606">
        <w:rPr>
          <w:rFonts w:ascii="Calibri" w:hAnsi="Calibri"/>
          <w:b/>
          <w:bCs/>
          <w:sz w:val="18"/>
          <w:szCs w:val="1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=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28"/>
          <w:szCs w:val="28"/>
          <w:vertAlign w:val="subscript"/>
        </w:rPr>
        <w:t>pa</w:t>
      </w:r>
      <w:proofErr w:type="spellEnd"/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*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R</w:t>
      </w:r>
    </w:p>
    <w:p w14:paraId="26D989A2" w14:textId="77777777" w:rsidR="00100A23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iCs/>
        </w:rPr>
        <w:t>gdzie:</w:t>
      </w:r>
      <w:r w:rsidR="00656606">
        <w:rPr>
          <w:rFonts w:ascii="Calibri" w:hAnsi="Calibri" w:cs="Calibri,Italic"/>
          <w:iCs/>
        </w:rPr>
        <w:t xml:space="preserve"> </w:t>
      </w:r>
    </w:p>
    <w:p w14:paraId="0281D6DC" w14:textId="77777777" w:rsidR="00B65756" w:rsidRPr="00EB7EAA" w:rsidRDefault="00B164C4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18"/>
          <w:szCs w:val="18"/>
          <w:vertAlign w:val="subscript"/>
        </w:rPr>
        <w:t>FR</w:t>
      </w:r>
      <w:r w:rsidR="00656606">
        <w:rPr>
          <w:rFonts w:ascii="Calibri" w:hAnsi="Calibri" w:cs="Calibri,Italic"/>
          <w:bCs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–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maksymalny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poziom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osi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priorytetowej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działaniu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po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uwzględnieniu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zryczałtowa</w:t>
      </w:r>
      <w:r w:rsidR="00100A23" w:rsidRPr="00EB7EAA">
        <w:rPr>
          <w:rFonts w:ascii="Calibri" w:hAnsi="Calibri" w:cs="Calibri,Italic"/>
          <w:iCs/>
        </w:rPr>
        <w:t>nej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stawki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procentowej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dochodów</w:t>
      </w:r>
    </w:p>
    <w:p w14:paraId="4A1C6294" w14:textId="77777777"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3.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możliwej)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dotacji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(Dotacja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UE):</w:t>
      </w:r>
      <w:r>
        <w:rPr>
          <w:rFonts w:ascii="Calibri" w:hAnsi="Calibri" w:cs="Calibri,Italic"/>
          <w:b/>
          <w:bCs/>
          <w:iCs/>
        </w:rPr>
        <w:t xml:space="preserve"> </w:t>
      </w:r>
    </w:p>
    <w:p w14:paraId="3DFEAB7F" w14:textId="77777777" w:rsidR="006A54DE" w:rsidRPr="00EB7EAA" w:rsidRDefault="00B164C4" w:rsidP="002C050D">
      <w:pPr>
        <w:pStyle w:val="Default"/>
        <w:ind w:left="720"/>
        <w:jc w:val="center"/>
        <w:rPr>
          <w:rFonts w:ascii="Calibri" w:hAnsi="Calibri"/>
          <w:b/>
          <w:bCs/>
          <w:sz w:val="18"/>
          <w:szCs w:val="18"/>
        </w:rPr>
      </w:pPr>
      <w:r w:rsidRPr="00EB7EAA">
        <w:rPr>
          <w:rFonts w:ascii="Calibri" w:hAnsi="Calibri"/>
          <w:b/>
          <w:bCs/>
          <w:sz w:val="28"/>
          <w:szCs w:val="28"/>
        </w:rPr>
        <w:t>Dotacja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UE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=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EC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*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6E3E13">
        <w:rPr>
          <w:rFonts w:ascii="Calibri" w:hAnsi="Calibri"/>
          <w:b/>
          <w:bCs/>
          <w:sz w:val="18"/>
          <w:szCs w:val="18"/>
          <w:vertAlign w:val="subscript"/>
        </w:rPr>
        <w:t>FR</w:t>
      </w:r>
    </w:p>
    <w:p w14:paraId="6E060EE9" w14:textId="77777777" w:rsidR="00100A23" w:rsidRPr="00EB7EAA" w:rsidRDefault="00100A23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4.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C33273" w:rsidRPr="00EB7EAA">
        <w:rPr>
          <w:rFonts w:eastAsia="Times New Roman" w:cs="Arial"/>
          <w:szCs w:val="24"/>
          <w:lang w:eastAsia="pl-PL"/>
        </w:rPr>
        <w:t>przypadku,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gdy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mamy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czynienia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generującym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dochód,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którym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występuje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jedna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form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wymieniona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61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8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rozporządzenia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nr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1303/2013,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dofinansowania,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określona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metodą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opisaną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niniejszym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</w:t>
      </w:r>
      <w:r w:rsidR="006A340F" w:rsidRPr="00EB7EAA">
        <w:rPr>
          <w:rFonts w:eastAsia="Times New Roman" w:cs="Arial"/>
          <w:szCs w:val="24"/>
          <w:lang w:eastAsia="pl-PL"/>
        </w:rPr>
        <w:t>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6.5</w:t>
      </w:r>
      <w:r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może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przekraczać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maksymalnej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dopuszczalnej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intensywności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tego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wynikającej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zasad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publicznej.</w:t>
      </w:r>
    </w:p>
    <w:p w14:paraId="7976F06F" w14:textId="77777777" w:rsidR="00100A23" w:rsidRPr="00EB7EAA" w:rsidRDefault="00100A23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lastRenderedPageBreak/>
        <w:t>Przykłady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ustalenia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wartości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dofinansowania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funduszy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oparciu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metodę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zryczałtowanych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stawek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procentowych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dochodów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zostały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przedstawione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Załączniku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3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2020</w:t>
      </w:r>
      <w:r w:rsidRPr="00EB7EAA">
        <w:rPr>
          <w:b/>
          <w:szCs w:val="24"/>
          <w:lang w:eastAsia="pl-PL"/>
        </w:rPr>
        <w:t>,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Rozwoju.</w:t>
      </w:r>
    </w:p>
    <w:p w14:paraId="62F2D2D3" w14:textId="77777777" w:rsidR="006A54DE" w:rsidRPr="00EB7EAA" w:rsidRDefault="00F9645B" w:rsidP="00EB7EAA">
      <w:pPr>
        <w:pStyle w:val="Nagwek2"/>
        <w:jc w:val="both"/>
        <w:rPr>
          <w:i/>
        </w:rPr>
      </w:pPr>
      <w:bookmarkStart w:id="32" w:name="_Toc21079599"/>
      <w:r w:rsidRPr="00EB7EAA">
        <w:t>Wskaźniki</w:t>
      </w:r>
      <w:r w:rsidR="00656606">
        <w:t xml:space="preserve"> </w:t>
      </w:r>
      <w:r w:rsidRPr="00EB7EAA">
        <w:t>efektywności</w:t>
      </w:r>
      <w:r w:rsidR="00656606">
        <w:t xml:space="preserve"> </w:t>
      </w:r>
      <w:r w:rsidRPr="00EB7EAA">
        <w:t>finansowej</w:t>
      </w:r>
      <w:bookmarkEnd w:id="32"/>
      <w:r w:rsidR="00656606">
        <w:t xml:space="preserve"> </w:t>
      </w:r>
    </w:p>
    <w:p w14:paraId="188ED646" w14:textId="77777777" w:rsidR="00995C0A" w:rsidRPr="00EB7EAA" w:rsidRDefault="00C62C66" w:rsidP="00EB7EAA">
      <w:pPr>
        <w:pStyle w:val="Bezodstpw"/>
        <w:spacing w:before="100" w:beforeAutospacing="1" w:after="100" w:afterAutospacing="1" w:line="276" w:lineRule="auto"/>
        <w:jc w:val="both"/>
        <w:rPr>
          <w:szCs w:val="24"/>
        </w:rPr>
      </w:pPr>
      <w:r w:rsidRPr="00EB7EAA">
        <w:rPr>
          <w:szCs w:val="24"/>
        </w:rPr>
        <w:t>1.</w:t>
      </w:r>
      <w:r w:rsidR="00656606">
        <w:rPr>
          <w:szCs w:val="24"/>
        </w:rPr>
        <w:t xml:space="preserve"> </w:t>
      </w:r>
      <w:r w:rsidR="00161F89" w:rsidRPr="00EB7EAA">
        <w:rPr>
          <w:sz w:val="24"/>
          <w:szCs w:val="24"/>
        </w:rPr>
        <w:t>Ustalenie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dokonywane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podstawie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określonych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zastosowaniu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standardowej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bądź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złożonej.</w:t>
      </w:r>
      <w:r w:rsidR="00656606">
        <w:rPr>
          <w:szCs w:val="24"/>
        </w:rPr>
        <w:t xml:space="preserve"> </w:t>
      </w:r>
    </w:p>
    <w:p w14:paraId="3ABF0B4E" w14:textId="77777777" w:rsidR="00161F89" w:rsidRPr="00EB7EAA" w:rsidRDefault="00C62C66" w:rsidP="002C050D">
      <w:pPr>
        <w:pStyle w:val="Bezodstpw"/>
        <w:keepNext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to:</w:t>
      </w:r>
      <w:r w:rsidR="00656606">
        <w:rPr>
          <w:sz w:val="24"/>
          <w:szCs w:val="24"/>
        </w:rPr>
        <w:t xml:space="preserve"> </w:t>
      </w:r>
    </w:p>
    <w:p w14:paraId="4E217AF0" w14:textId="77777777"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(FNPV/C)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zdyskontowanych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strumieni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generowanych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projekt,</w:t>
      </w:r>
      <w:r w:rsidR="00656606">
        <w:rPr>
          <w:rFonts w:ascii="Calibri" w:hAnsi="Calibri"/>
        </w:rPr>
        <w:t xml:space="preserve"> </w:t>
      </w:r>
    </w:p>
    <w:p w14:paraId="75762D97" w14:textId="77777777"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wewnętrzna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(FRR/C)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której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FNPV/C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zero,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tzn.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przychodów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równa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bieżącej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kosztów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</w:p>
    <w:p w14:paraId="51BFE2FB" w14:textId="77777777"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kapitału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(FNPV/K)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zdyskontowanych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strumieni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wygenerowanych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beneficjenta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wyniku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rozważanej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inwestycji,</w:t>
      </w:r>
      <w:r w:rsidR="00656606">
        <w:rPr>
          <w:rFonts w:ascii="Calibri" w:hAnsi="Calibri"/>
        </w:rPr>
        <w:t xml:space="preserve"> </w:t>
      </w:r>
    </w:p>
    <w:p w14:paraId="49738B07" w14:textId="77777777" w:rsidR="00161F89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wewnętrzna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kapitału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(FRR/K)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której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FNPV/K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zero.</w:t>
      </w:r>
      <w:r w:rsidR="00656606">
        <w:rPr>
          <w:rFonts w:ascii="Calibri" w:hAnsi="Calibri"/>
        </w:rPr>
        <w:t xml:space="preserve"> </w:t>
      </w:r>
    </w:p>
    <w:p w14:paraId="70A96F32" w14:textId="77777777" w:rsidR="00C62C66" w:rsidRPr="00EB7EAA" w:rsidRDefault="00C62C66" w:rsidP="00EB7EAA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3.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Dla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wszystkich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projektów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inwestycyjnych,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niezależnie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od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wartości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ich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całkowitych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kwalifikowalnych,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należy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wyliczyć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bieżącą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netto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inwestycji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(FNPV/C)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oraz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finansową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wewnętrzną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stopę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zwrotu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inwestycji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(FRR/C).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FNPV/K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FRR/K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jedynie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projektów.</w:t>
      </w:r>
      <w:r w:rsidR="00656606">
        <w:rPr>
          <w:sz w:val="24"/>
          <w:szCs w:val="24"/>
        </w:rPr>
        <w:t xml:space="preserve"> </w:t>
      </w:r>
    </w:p>
    <w:p w14:paraId="2F1BC155" w14:textId="77777777" w:rsidR="00BC30B5" w:rsidRPr="00EB7EAA" w:rsidRDefault="00C62C6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4.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Efektywność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ocenio</w:t>
      </w:r>
      <w:r w:rsidR="00161F89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bieżącej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netto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zwrotu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w</w:t>
      </w:r>
      <w:r w:rsidR="00C33273">
        <w:rPr>
          <w:sz w:val="24"/>
          <w:szCs w:val="24"/>
        </w:rPr>
        <w:t> </w:t>
      </w:r>
      <w:r w:rsidR="007D43E8" w:rsidRPr="00EB7EAA">
        <w:rPr>
          <w:sz w:val="24"/>
          <w:szCs w:val="24"/>
        </w:rPr>
        <w:t>FRR/C.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FRR/C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obrazują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zdolność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pokrycia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nim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związanych.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wyłącznie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rezydualną.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Pozostałe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wpływy,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dotacje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charakterze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operacyjnym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traktować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jedno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źródeł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uwzględnić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wpływach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="00BC30B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przedmiotowych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wykorzystać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prognozę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użyto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określaniu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finansowaniu.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Podejście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stosuje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metod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ustalania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dofinansowania.</w:t>
      </w:r>
    </w:p>
    <w:p w14:paraId="56D4B092" w14:textId="77777777" w:rsidR="00BC30B5" w:rsidRPr="00EB7EAA" w:rsidRDefault="00BC30B5" w:rsidP="00AA4454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5.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ujemną,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dyskontowej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AA4454">
        <w:rPr>
          <w:sz w:val="24"/>
          <w:szCs w:val="24"/>
        </w:rPr>
        <w:t> 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przyszłych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Odstępstwo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specyfiki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ryzyka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innowacyjności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niektórych</w:t>
      </w:r>
      <w:r w:rsidR="00656606">
        <w:rPr>
          <w:sz w:val="24"/>
          <w:szCs w:val="24"/>
        </w:rPr>
        <w:t xml:space="preserve"> </w:t>
      </w:r>
      <w:r w:rsidR="009F3632" w:rsidRPr="00EB7EAA">
        <w:rPr>
          <w:sz w:val="24"/>
          <w:szCs w:val="24"/>
        </w:rPr>
        <w:t>projektach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publiczną.</w:t>
      </w:r>
      <w:r w:rsidR="00656606">
        <w:rPr>
          <w:sz w:val="24"/>
          <w:szCs w:val="24"/>
        </w:rPr>
        <w:t xml:space="preserve"> </w:t>
      </w:r>
    </w:p>
    <w:p w14:paraId="3886B0F3" w14:textId="77777777" w:rsidR="009F3632" w:rsidRPr="00EB7EAA" w:rsidRDefault="009F3632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6.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wkładu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EFSI,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FNPV(K)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unijnym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ujemną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FRR(K)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dyskontowej.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dopuszcza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odstępstwa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m.in.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miejsce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powyżej.</w:t>
      </w:r>
    </w:p>
    <w:p w14:paraId="223F20F0" w14:textId="7AC75057" w:rsidR="00161F89" w:rsidRPr="00EB7EAA" w:rsidRDefault="009F3632" w:rsidP="005C5463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7.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Zestawienie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wzory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Załączniku</w:t>
      </w:r>
      <w:r w:rsidR="006E3E13">
        <w:rPr>
          <w:sz w:val="24"/>
          <w:szCs w:val="24"/>
        </w:rPr>
        <w:t> 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i/>
          <w:sz w:val="24"/>
          <w:szCs w:val="24"/>
          <w:lang w:eastAsia="pl-PL"/>
        </w:rPr>
        <w:t>Wytycznych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zakresie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zagadnień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związanych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</w:t>
      </w:r>
      <w:r w:rsidR="005C5463">
        <w:rPr>
          <w:i/>
          <w:sz w:val="24"/>
          <w:szCs w:val="24"/>
          <w:lang w:eastAsia="pl-PL"/>
        </w:rPr>
        <w:t> </w:t>
      </w:r>
      <w:r w:rsidRPr="00EB7EAA">
        <w:rPr>
          <w:i/>
          <w:sz w:val="24"/>
          <w:szCs w:val="24"/>
          <w:lang w:eastAsia="pl-PL"/>
        </w:rPr>
        <w:t>przygotowaniem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inwestycyjnych,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tym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generujących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dochód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</w:t>
      </w:r>
      <w:r w:rsidR="005C5463">
        <w:rPr>
          <w:i/>
          <w:sz w:val="24"/>
          <w:szCs w:val="24"/>
          <w:lang w:eastAsia="pl-PL"/>
        </w:rPr>
        <w:t> 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hybrydowych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na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lata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2014</w:t>
      </w:r>
      <w:r w:rsidR="00656606">
        <w:rPr>
          <w:i/>
          <w:sz w:val="24"/>
          <w:szCs w:val="24"/>
          <w:lang w:eastAsia="pl-PL"/>
        </w:rPr>
        <w:t xml:space="preserve"> </w:t>
      </w:r>
      <w:r w:rsidR="00415E30">
        <w:rPr>
          <w:i/>
          <w:sz w:val="24"/>
          <w:szCs w:val="24"/>
          <w:lang w:eastAsia="pl-PL"/>
        </w:rPr>
        <w:t>–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2020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</w:t>
      </w:r>
      <w:r w:rsidRPr="00EB7EAA">
        <w:rPr>
          <w:sz w:val="24"/>
          <w:szCs w:val="24"/>
        </w:rPr>
        <w:t>.</w:t>
      </w:r>
    </w:p>
    <w:p w14:paraId="6ADF55AD" w14:textId="77777777" w:rsidR="006A54DE" w:rsidRPr="00EB7EAA" w:rsidRDefault="009F3632" w:rsidP="00EB7EAA">
      <w:pPr>
        <w:pStyle w:val="Nagwek2"/>
        <w:jc w:val="both"/>
        <w:rPr>
          <w:i/>
        </w:rPr>
      </w:pPr>
      <w:bookmarkStart w:id="33" w:name="_Toc21079600"/>
      <w:r w:rsidRPr="00EB7EAA">
        <w:t>Analiza</w:t>
      </w:r>
      <w:r w:rsidR="00656606">
        <w:t xml:space="preserve"> </w:t>
      </w:r>
      <w:r w:rsidRPr="00EB7EAA">
        <w:t>trwałości</w:t>
      </w:r>
      <w:r w:rsidR="00656606">
        <w:t xml:space="preserve"> </w:t>
      </w:r>
      <w:r w:rsidRPr="00EB7EAA">
        <w:t>finansowej</w:t>
      </w:r>
      <w:bookmarkEnd w:id="33"/>
      <w:r w:rsidR="00656606">
        <w:t xml:space="preserve"> </w:t>
      </w:r>
    </w:p>
    <w:p w14:paraId="14E6BA6C" w14:textId="77777777" w:rsidR="006C76DD" w:rsidRPr="00EB7EAA" w:rsidRDefault="009E7C36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Analiza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trwałości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polega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wykazaniu,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że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zasoby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realizację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analizowanego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zostały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zapewnione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wystarczające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sfinansowania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podczas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jego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realizacji,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następnie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eksploatacji.</w:t>
      </w:r>
    </w:p>
    <w:p w14:paraId="728A7C5A" w14:textId="77777777" w:rsidR="009E7C36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D16E99" w14:textId="77777777" w:rsidR="006A54DE" w:rsidRPr="00EB7EAA" w:rsidRDefault="009E7C3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działania:</w:t>
      </w:r>
      <w:r w:rsidR="00656606">
        <w:rPr>
          <w:sz w:val="24"/>
          <w:szCs w:val="24"/>
        </w:rPr>
        <w:t xml:space="preserve"> </w:t>
      </w:r>
    </w:p>
    <w:p w14:paraId="0E8CBEA0" w14:textId="77777777" w:rsidR="006A54DE" w:rsidRPr="00EB7EAA" w:rsidRDefault="006C76DD" w:rsidP="00360ED8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1.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9E7C36" w:rsidRPr="00EB7EAA">
        <w:rPr>
          <w:b/>
          <w:sz w:val="24"/>
          <w:szCs w:val="24"/>
        </w:rPr>
        <w:t>naliz</w:t>
      </w:r>
      <w:r w:rsidRPr="00EB7EAA">
        <w:rPr>
          <w:b/>
          <w:sz w:val="24"/>
          <w:szCs w:val="24"/>
        </w:rPr>
        <w:t>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zasobów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weryfikacji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zbadaniu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niezdyskontowanych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skumulowanych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większe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analizą.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odpowiednio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czasowo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zharmonizowane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przedsięwzięcie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płynność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finansową.</w:t>
      </w:r>
    </w:p>
    <w:p w14:paraId="4879A7D6" w14:textId="77777777" w:rsidR="006C76DD" w:rsidRPr="00EB7EAA" w:rsidRDefault="006C76D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9E7C36" w:rsidRPr="00EB7EAA">
        <w:rPr>
          <w:b/>
          <w:sz w:val="24"/>
          <w:szCs w:val="24"/>
        </w:rPr>
        <w:t>nalizę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sytuacji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ben</w:t>
      </w:r>
      <w:r w:rsidRPr="00EB7EAA">
        <w:rPr>
          <w:b/>
          <w:sz w:val="24"/>
          <w:szCs w:val="24"/>
        </w:rPr>
        <w:t>eficjenta/operatora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projektem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sprawdzeniu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beneficjenta/operatora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operator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zbankrutuje,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stracić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wykazać,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beneficjent/operator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skumulowanych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koniec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analizą.</w:t>
      </w:r>
    </w:p>
    <w:p w14:paraId="7E28A0EB" w14:textId="77777777" w:rsidR="006C76DD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B251F3" w14:textId="77777777" w:rsidR="00100A23" w:rsidRPr="00EB7EAA" w:rsidRDefault="009E7C36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Przy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trwałości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bierze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się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uwagę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wszystkie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przepływy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pieniężne,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tym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również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wpływy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rzecz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które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stanowią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przychodów,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np.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dotacje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charakterze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operacyjnym.</w:t>
      </w:r>
    </w:p>
    <w:p w14:paraId="0EFEDDC7" w14:textId="77777777" w:rsidR="006A54DE" w:rsidRPr="00EB7EAA" w:rsidRDefault="00FB6532" w:rsidP="008F3B18">
      <w:pPr>
        <w:pStyle w:val="Nagwek1"/>
        <w:numPr>
          <w:ilvl w:val="0"/>
          <w:numId w:val="2"/>
        </w:numPr>
        <w:spacing w:before="600"/>
        <w:ind w:left="448" w:hanging="448"/>
        <w:jc w:val="both"/>
      </w:pPr>
      <w:bookmarkStart w:id="34" w:name="_Toc21079601"/>
      <w:r w:rsidRPr="00EB7EAA">
        <w:t>Analiza</w:t>
      </w:r>
      <w:r w:rsidR="00656606">
        <w:t xml:space="preserve"> </w:t>
      </w:r>
      <w:r w:rsidRPr="00EB7EAA">
        <w:t>kosztów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korzyści</w:t>
      </w:r>
      <w:bookmarkEnd w:id="34"/>
    </w:p>
    <w:p w14:paraId="628ED091" w14:textId="77777777" w:rsidR="006A54DE" w:rsidRPr="00EB7EAA" w:rsidRDefault="0029545B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Sporządzenie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konieczności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360ED8">
        <w:rPr>
          <w:sz w:val="24"/>
          <w:szCs w:val="24"/>
        </w:rPr>
        <w:t> 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przybrać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formę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kosztowej</w:t>
      </w:r>
      <w:r w:rsidR="00983053" w:rsidRPr="00EB7EAA">
        <w:rPr>
          <w:sz w:val="24"/>
          <w:szCs w:val="24"/>
        </w:rPr>
        <w:t>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BE42A23" w14:textId="77777777" w:rsidR="00F2727E" w:rsidRPr="00EB7EAA" w:rsidRDefault="00983053" w:rsidP="00360ED8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lit.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obowiązkowe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pełnej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360ED8">
        <w:rPr>
          <w:sz w:val="24"/>
          <w:szCs w:val="24"/>
        </w:rPr>
        <w:t> </w:t>
      </w:r>
      <w:r w:rsidRPr="00EB7EAA">
        <w:rPr>
          <w:sz w:val="24"/>
          <w:szCs w:val="24"/>
        </w:rPr>
        <w:t>odniesieniu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zmierzyć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monetarnych,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jakościowej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ilościowej,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wymienienie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opisanie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</w:t>
      </w:r>
      <w:r w:rsidR="00F2727E" w:rsidRPr="00EB7EAA">
        <w:rPr>
          <w:sz w:val="24"/>
          <w:szCs w:val="24"/>
        </w:rPr>
        <w:t>ecznych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jeśli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możliwe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ilościowych.</w:t>
      </w:r>
    </w:p>
    <w:p w14:paraId="1B3143EE" w14:textId="77777777" w:rsidR="006A54DE" w:rsidRPr="00EB7EAA" w:rsidRDefault="00F2727E" w:rsidP="00A80DF0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drodze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chyba,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zmierzenie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praktycznie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możliwe.</w:t>
      </w:r>
      <w:r w:rsidR="00656606">
        <w:rPr>
          <w:sz w:val="24"/>
          <w:szCs w:val="24"/>
        </w:rPr>
        <w:t xml:space="preserve"> </w:t>
      </w:r>
    </w:p>
    <w:p w14:paraId="4C07B250" w14:textId="77777777" w:rsidR="006A54DE" w:rsidRPr="00EB7EAA" w:rsidRDefault="00F2727E" w:rsidP="00A80DF0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drodze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fiskalne,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rozrachunkowe</w:t>
      </w:r>
      <w:r w:rsidRPr="00EB7EAA">
        <w:rPr>
          <w:rStyle w:val="Odwoanieprzypisudolnego"/>
          <w:sz w:val="24"/>
          <w:szCs w:val="24"/>
        </w:rPr>
        <w:footnoteReference w:id="26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14:paraId="5E509162" w14:textId="77777777" w:rsidR="006A54DE" w:rsidRPr="00EB7EAA" w:rsidRDefault="00303CD4" w:rsidP="00EB7EAA">
      <w:pPr>
        <w:pStyle w:val="Bezodstpw"/>
        <w:spacing w:line="276" w:lineRule="auto"/>
        <w:jc w:val="both"/>
        <w:rPr>
          <w:rFonts w:cs="Calibri,Italic"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przypadku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zaliczanych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dużych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analizę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ekonomiczną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przeprowadzić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formie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uproszczonej,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która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opiera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się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oszacowaniu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ilościowych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jakościowych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skutków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realizacji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projektu.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takim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przypadku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wnioskodawca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zobowiązany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jest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wymienić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opisać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wszystkie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istotne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środowiskowe,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gospodarcze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społeczne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efekty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projektu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oraz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jeżeli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to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możliwe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zaprezentować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</w:t>
      </w:r>
      <w:r w:rsidR="00A80DF0">
        <w:rPr>
          <w:rFonts w:cs="Calibri,Italic"/>
          <w:b/>
          <w:iCs/>
          <w:sz w:val="24"/>
          <w:szCs w:val="24"/>
        </w:rPr>
        <w:t> </w:t>
      </w:r>
      <w:r w:rsidR="002C64A0" w:rsidRPr="00EB7EAA">
        <w:rPr>
          <w:rFonts w:cs="Calibri,Italic"/>
          <w:b/>
          <w:iCs/>
          <w:sz w:val="24"/>
          <w:szCs w:val="24"/>
        </w:rPr>
        <w:t>kategoriach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ilościowych.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Dodatkowo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64A0" w:rsidRPr="00EB7EAA">
        <w:rPr>
          <w:rFonts w:cs="Calibri,Italic"/>
          <w:iCs/>
          <w:sz w:val="24"/>
          <w:szCs w:val="24"/>
        </w:rPr>
        <w:t>powinien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odnieść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się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analizy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efektywności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kosztowej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(patrz: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słownik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pojęć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skrótów,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definicja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AEK),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wykazując,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że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realizacja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danego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projektu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inwestycyjnego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stanowi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dla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</w:t>
      </w:r>
      <w:r w:rsidR="002C1B70" w:rsidRPr="00EB7EAA">
        <w:rPr>
          <w:rFonts w:cs="Calibri,Italic"/>
          <w:iCs/>
          <w:sz w:val="24"/>
          <w:szCs w:val="24"/>
        </w:rPr>
        <w:t>połeczeństwa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najtańszy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wariant.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Sposób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sporządzania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AEK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został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opisany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szerzej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w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podrozdziale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5.3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Analiza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opcji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(rozwiązań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alternatywnych)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niniejszej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instrukcji.</w:t>
      </w:r>
    </w:p>
    <w:p w14:paraId="53E65323" w14:textId="77777777" w:rsidR="006A54DE" w:rsidRPr="00EB7EAA" w:rsidRDefault="002C1B70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b/>
          <w:szCs w:val="24"/>
        </w:rPr>
        <w:lastRenderedPageBreak/>
        <w:t>Natomiast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</w:t>
      </w:r>
      <w:r w:rsidR="00C32B9C" w:rsidRPr="00EB7EAA">
        <w:rPr>
          <w:b/>
          <w:szCs w:val="24"/>
        </w:rPr>
        <w:t>etodykę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przeprowadzania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ekonomicznej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omówiono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szczegółowo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w</w:t>
      </w:r>
      <w:r w:rsidR="00A80DF0">
        <w:rPr>
          <w:b/>
          <w:szCs w:val="24"/>
        </w:rPr>
        <w:t> </w:t>
      </w:r>
      <w:r w:rsidR="00C32B9C" w:rsidRPr="00EB7EAA">
        <w:rPr>
          <w:b/>
          <w:szCs w:val="24"/>
        </w:rPr>
        <w:t>podrozdziale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8.1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2020</w:t>
      </w:r>
      <w:r w:rsidR="00EF3342" w:rsidRPr="00EB7EAA">
        <w:rPr>
          <w:b/>
          <w:i/>
          <w:szCs w:val="24"/>
          <w:lang w:eastAsia="pl-PL"/>
        </w:rPr>
        <w:t>,</w:t>
      </w:r>
      <w:r w:rsidR="00656606">
        <w:rPr>
          <w:b/>
          <w:i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i</w:t>
      </w:r>
      <w:r w:rsidR="00A80DF0">
        <w:rPr>
          <w:b/>
          <w:szCs w:val="24"/>
          <w:lang w:eastAsia="pl-PL"/>
        </w:rPr>
        <w:t> </w:t>
      </w:r>
      <w:r w:rsidR="00EF3342" w:rsidRPr="00EB7EAA">
        <w:rPr>
          <w:b/>
          <w:szCs w:val="24"/>
          <w:lang w:eastAsia="pl-PL"/>
        </w:rPr>
        <w:t>Rozwoju.</w:t>
      </w:r>
    </w:p>
    <w:p w14:paraId="46104D31" w14:textId="77777777" w:rsidR="003D78EB" w:rsidRPr="00EB7EAA" w:rsidRDefault="003D78EB" w:rsidP="00EB7EAA">
      <w:pPr>
        <w:pStyle w:val="Bezodstpw"/>
        <w:spacing w:line="276" w:lineRule="auto"/>
        <w:jc w:val="both"/>
        <w:rPr>
          <w:rFonts w:cs="Calibri,Italic"/>
          <w:b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jednak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mieć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względzie,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Instytucja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Zarządzająca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RPOWŚ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2014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415E30">
        <w:rPr>
          <w:rFonts w:cs="Calibri,Italic"/>
          <w:b/>
          <w:iCs/>
          <w:sz w:val="24"/>
          <w:szCs w:val="24"/>
        </w:rPr>
        <w:t>–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2020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może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regulaminie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konkursu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zdecydować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konieczności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przeprowadzenia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analizy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kosztó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</w:t>
      </w:r>
      <w:r w:rsidR="00A80DF0">
        <w:rPr>
          <w:rFonts w:cs="Calibri,Italic"/>
          <w:b/>
          <w:iCs/>
          <w:sz w:val="24"/>
          <w:szCs w:val="24"/>
        </w:rPr>
        <w:t> </w:t>
      </w:r>
      <w:r w:rsidRPr="00EB7EAA">
        <w:rPr>
          <w:rFonts w:cs="Calibri,Italic"/>
          <w:b/>
          <w:iCs/>
          <w:sz w:val="24"/>
          <w:szCs w:val="24"/>
        </w:rPr>
        <w:t>korzyści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pełnym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zakresie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np.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konieczność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spełnienia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kryteriów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wyboru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odnoszących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się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wartości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wskaźników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ENPV,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ERR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lub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B/C.</w:t>
      </w:r>
    </w:p>
    <w:p w14:paraId="7A6E24B8" w14:textId="77777777" w:rsidR="00303CD4" w:rsidRPr="00EB7EAA" w:rsidRDefault="003B45C5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Wówczas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taką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A80DF0">
        <w:rPr>
          <w:rFonts w:ascii="Calibri" w:hAnsi="Calibri"/>
          <w:b/>
        </w:rPr>
        <w:t> </w:t>
      </w:r>
      <w:r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kosztów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korzyści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14:paraId="6E839177" w14:textId="77777777" w:rsidR="00CA7B10" w:rsidRPr="00EB7EAA" w:rsidRDefault="00CA7B10" w:rsidP="000029BB">
      <w:pPr>
        <w:pStyle w:val="Nagwek1"/>
        <w:numPr>
          <w:ilvl w:val="0"/>
          <w:numId w:val="2"/>
        </w:numPr>
        <w:jc w:val="both"/>
      </w:pPr>
      <w:bookmarkStart w:id="35" w:name="_Toc21079602"/>
      <w:r w:rsidRPr="00EB7EAA">
        <w:t>Analiza</w:t>
      </w:r>
      <w:r w:rsidR="00656606">
        <w:t xml:space="preserve"> </w:t>
      </w:r>
      <w:r w:rsidRPr="00EB7EAA">
        <w:t>wrażliwości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ryzyka</w:t>
      </w:r>
      <w:bookmarkEnd w:id="35"/>
    </w:p>
    <w:p w14:paraId="48706E5A" w14:textId="77777777" w:rsidR="000B7359" w:rsidRPr="00EB7EAA" w:rsidRDefault="000B7359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rFonts w:cs="Calibri"/>
          <w:b/>
          <w:sz w:val="24"/>
          <w:szCs w:val="24"/>
          <w:lang w:eastAsia="pl-PL"/>
        </w:rPr>
        <w:t>Zgodnie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z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art.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101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lit.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e)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rozporządzenia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nr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1303/2013,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w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przypadku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dużych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projektów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wymagane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jest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dokonanie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„oceny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ryzyka”.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Natomiast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235057" w:rsidRPr="00EB7EAA">
        <w:rPr>
          <w:b/>
          <w:sz w:val="24"/>
          <w:szCs w:val="24"/>
        </w:rPr>
        <w:t>przypadku,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jeżeli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Beneficjent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uwzględnił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projekcie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nieprzewidziane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wydatki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(koszty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kwalifikowalne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mogą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uwzględniać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nieprzewidziane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wydatki,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warunkiem,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że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przekracza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10%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całkowitych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nakładów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inwestycyjnych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rezerw),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wówczas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względu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należy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przeprowadzić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szczegółową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ryzyka,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uzasadniającą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utworzenie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rezerwy.</w:t>
      </w:r>
      <w:r w:rsidR="00656606">
        <w:rPr>
          <w:b/>
          <w:sz w:val="24"/>
          <w:szCs w:val="24"/>
        </w:rPr>
        <w:t xml:space="preserve"> </w:t>
      </w:r>
    </w:p>
    <w:p w14:paraId="1C4650BC" w14:textId="77777777" w:rsidR="000B7359" w:rsidRPr="00EB7EAA" w:rsidRDefault="000B7359" w:rsidP="001B49F8">
      <w:pPr>
        <w:pStyle w:val="Bezodstpw"/>
        <w:spacing w:before="100" w:beforeAutospacing="1" w:after="100" w:afterAutospacing="1" w:line="276" w:lineRule="auto"/>
        <w:jc w:val="both"/>
        <w:rPr>
          <w:rFonts w:cs="Calibri,Italic"/>
          <w:b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Dodatkowo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mieć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względzie,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Instytucja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Zarządzająca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RPOWŚ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2014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415E30">
        <w:rPr>
          <w:rFonts w:cs="Calibri,Italic"/>
          <w:b/>
          <w:iCs/>
          <w:sz w:val="24"/>
          <w:szCs w:val="24"/>
        </w:rPr>
        <w:t>–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2020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również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innych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powodów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może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regulaminie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konkursu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zdecydować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konieczności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przeprowadzenia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oceny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ryzyka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dla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niebędących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dużymi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projektami.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</w:p>
    <w:p w14:paraId="5093EE33" w14:textId="77777777" w:rsidR="000B7359" w:rsidRPr="00EB7EAA" w:rsidRDefault="000B7359" w:rsidP="00EB7EAA">
      <w:pPr>
        <w:autoSpaceDE w:val="0"/>
        <w:autoSpaceDN w:val="0"/>
        <w:adjustRightInd w:val="0"/>
        <w:spacing w:after="0"/>
        <w:jc w:val="both"/>
        <w:rPr>
          <w:rFonts w:cs="Calibri"/>
          <w:szCs w:val="24"/>
          <w:lang w:eastAsia="pl-PL"/>
        </w:rPr>
      </w:pPr>
      <w:r w:rsidRPr="00EB7EAA">
        <w:rPr>
          <w:rFonts w:cs="Calibri"/>
          <w:szCs w:val="24"/>
          <w:lang w:eastAsia="pl-PL"/>
        </w:rPr>
        <w:t>Przeprowadzenie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pozwala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oszacowanie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trwałości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inwestycji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funduszy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UE.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Powinna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wykazać,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określone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czynniki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spowodują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utraty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płynności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finansowej.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wymaga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przeprowadzenia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jakościowej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oraz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wrażliwości.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Dodatkowo,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może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być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uzasadnionych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przypadkach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(w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zależności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od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skali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dostępności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danych)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uzupełniona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ilościową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ryzyka.</w:t>
      </w:r>
      <w:r w:rsidR="00656606">
        <w:rPr>
          <w:rFonts w:cs="Calibri"/>
          <w:szCs w:val="24"/>
          <w:lang w:eastAsia="pl-PL"/>
        </w:rPr>
        <w:t xml:space="preserve"> </w:t>
      </w:r>
    </w:p>
    <w:p w14:paraId="5625F351" w14:textId="77777777" w:rsidR="006C46B9" w:rsidRPr="00EB7EAA" w:rsidRDefault="000B735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rFonts w:cs="Calibri"/>
          <w:sz w:val="24"/>
          <w:szCs w:val="24"/>
          <w:lang w:eastAsia="pl-PL"/>
        </w:rPr>
        <w:lastRenderedPageBreak/>
        <w:t>Sposób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przeprowadzenia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analizy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ryzyka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i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analizy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wrażliwości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dla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projektu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został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szczegółowo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opisany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w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Rozdziale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9.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Wytycznych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Ministerstwa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Infrastruktury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Rozwoju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</w:t>
      </w:r>
      <w:r w:rsidR="00235057">
        <w:rPr>
          <w:rFonts w:cs="Calibri,Italic"/>
          <w:i/>
          <w:iCs/>
          <w:sz w:val="24"/>
          <w:szCs w:val="24"/>
          <w:lang w:eastAsia="pl-PL"/>
        </w:rPr>
        <w:t> </w:t>
      </w:r>
      <w:r w:rsidRPr="00EB7EAA">
        <w:rPr>
          <w:rFonts w:cs="Calibri,Italic"/>
          <w:i/>
          <w:iCs/>
          <w:sz w:val="24"/>
          <w:szCs w:val="24"/>
          <w:lang w:eastAsia="pl-PL"/>
        </w:rPr>
        <w:t>zakresie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zagadnień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związanych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przygotowaniem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inwestycyjnych,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tym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generujących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dochód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hybrydowych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na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lata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2014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="00415E30">
        <w:rPr>
          <w:rFonts w:cs="Calibri,Italic"/>
          <w:i/>
          <w:iCs/>
          <w:sz w:val="24"/>
          <w:szCs w:val="24"/>
          <w:lang w:eastAsia="pl-PL"/>
        </w:rPr>
        <w:t>–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2020</w:t>
      </w:r>
      <w:r w:rsidRPr="00EB7EAA">
        <w:rPr>
          <w:rFonts w:cs="Calibri"/>
          <w:sz w:val="24"/>
          <w:szCs w:val="24"/>
          <w:lang w:eastAsia="pl-PL"/>
        </w:rPr>
        <w:t>.</w:t>
      </w:r>
    </w:p>
    <w:p w14:paraId="08F44DA2" w14:textId="77777777" w:rsidR="00CA7B10" w:rsidRPr="00EB7EAA" w:rsidRDefault="00CA7B10" w:rsidP="00024078">
      <w:pPr>
        <w:pStyle w:val="Nagwek1"/>
        <w:numPr>
          <w:ilvl w:val="0"/>
          <w:numId w:val="2"/>
        </w:numPr>
        <w:spacing w:before="600"/>
        <w:ind w:left="448" w:hanging="448"/>
        <w:jc w:val="both"/>
      </w:pPr>
      <w:bookmarkStart w:id="36" w:name="_Toc21079603"/>
      <w:r w:rsidRPr="00EB7EAA">
        <w:t>Analizy</w:t>
      </w:r>
      <w:r w:rsidR="00656606">
        <w:t xml:space="preserve"> </w:t>
      </w:r>
      <w:r w:rsidR="00CD0B49" w:rsidRPr="00EB7EAA">
        <w:t>i</w:t>
      </w:r>
      <w:r w:rsidR="00656606">
        <w:t xml:space="preserve"> </w:t>
      </w:r>
      <w:r w:rsidR="00CD0B49" w:rsidRPr="00EB7EAA">
        <w:t>informacje</w:t>
      </w:r>
      <w:r w:rsidR="00656606">
        <w:t xml:space="preserve"> </w:t>
      </w:r>
      <w:r w:rsidRPr="00EB7EAA">
        <w:t>specyficzne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danego</w:t>
      </w:r>
      <w:r w:rsidR="00656606">
        <w:t xml:space="preserve"> </w:t>
      </w:r>
      <w:r w:rsidRPr="00EB7EAA">
        <w:t>rodzaju</w:t>
      </w:r>
      <w:r w:rsidR="00656606">
        <w:t xml:space="preserve"> </w:t>
      </w:r>
      <w:r w:rsidR="0059311F" w:rsidRPr="00EB7EAA">
        <w:t>projektu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sektora</w:t>
      </w:r>
      <w:bookmarkEnd w:id="36"/>
    </w:p>
    <w:p w14:paraId="4F220E99" w14:textId="38CB781E" w:rsidR="00CB116F" w:rsidRPr="00EB7EAA" w:rsidRDefault="000C105F" w:rsidP="001B49F8">
      <w:pPr>
        <w:autoSpaceDE w:val="0"/>
        <w:autoSpaceDN w:val="0"/>
        <w:adjustRightInd w:val="0"/>
        <w:spacing w:after="0"/>
        <w:jc w:val="both"/>
        <w:rPr>
          <w:rFonts w:cs="Calibri"/>
          <w:szCs w:val="24"/>
          <w:lang w:eastAsia="pl-PL"/>
        </w:rPr>
      </w:pP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rozdziale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tym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należy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opisać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relację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względem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najważniejszych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cech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charakterystycznych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danego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sektora.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Zakres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koniecznych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wprowadzenia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uzależniony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będzie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od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specyfiki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poszczególnych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obszarów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tematycznych.</w:t>
      </w:r>
      <w:r w:rsidR="00656606">
        <w:rPr>
          <w:rFonts w:cs="Calibri"/>
          <w:szCs w:val="24"/>
          <w:lang w:eastAsia="pl-PL"/>
        </w:rPr>
        <w:t xml:space="preserve"> </w:t>
      </w:r>
      <w:r w:rsidR="001B49F8" w:rsidRPr="00EB7EAA">
        <w:rPr>
          <w:rFonts w:cs="Calibri"/>
          <w:szCs w:val="24"/>
          <w:lang w:eastAsia="pl-PL"/>
        </w:rPr>
        <w:t>Prezentowane</w:t>
      </w:r>
      <w:r w:rsidR="001B49F8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stanowić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będą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podstawę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merytorycznej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dokonywanej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przez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osoby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oceniające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(ekspertów)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dziedziny.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Wnioskodawca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zobowiązany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jest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przedstawienia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specyficznych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spo</w:t>
      </w:r>
      <w:r w:rsidR="00CD0B49" w:rsidRPr="00EB7EAA">
        <w:rPr>
          <w:rFonts w:cs="Calibri"/>
          <w:szCs w:val="24"/>
          <w:lang w:eastAsia="pl-PL"/>
        </w:rPr>
        <w:t>sób</w:t>
      </w:r>
      <w:r w:rsidR="00656606">
        <w:rPr>
          <w:rFonts w:cs="Calibri"/>
          <w:szCs w:val="24"/>
          <w:lang w:eastAsia="pl-PL"/>
        </w:rPr>
        <w:t xml:space="preserve"> </w:t>
      </w:r>
      <w:r w:rsidR="00CD0B49" w:rsidRPr="00EB7EAA">
        <w:rPr>
          <w:rFonts w:cs="Calibri"/>
          <w:szCs w:val="24"/>
          <w:lang w:eastAsia="pl-PL"/>
        </w:rPr>
        <w:t>umożliwiający</w:t>
      </w:r>
      <w:r w:rsidR="00656606">
        <w:rPr>
          <w:rFonts w:cs="Calibri"/>
          <w:szCs w:val="24"/>
          <w:lang w:eastAsia="pl-PL"/>
        </w:rPr>
        <w:t xml:space="preserve"> </w:t>
      </w:r>
      <w:r w:rsidR="00CD0B49" w:rsidRPr="00EB7EAA">
        <w:rPr>
          <w:rFonts w:cs="Calibri"/>
          <w:szCs w:val="24"/>
          <w:lang w:eastAsia="pl-PL"/>
        </w:rPr>
        <w:t>dokonanie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CB116F" w:rsidRPr="00EB7EAA">
        <w:rPr>
          <w:rFonts w:cs="Calibri"/>
          <w:szCs w:val="24"/>
          <w:lang w:eastAsia="pl-PL"/>
        </w:rPr>
        <w:t>.</w:t>
      </w:r>
      <w:r w:rsidR="00656606">
        <w:rPr>
          <w:rFonts w:cs="Calibri"/>
          <w:szCs w:val="24"/>
          <w:lang w:eastAsia="pl-PL"/>
        </w:rPr>
        <w:t xml:space="preserve"> </w:t>
      </w:r>
    </w:p>
    <w:p w14:paraId="6896DA46" w14:textId="77777777" w:rsidR="00BC2C9B" w:rsidRDefault="00CD0B49" w:rsidP="008F3B18">
      <w:pPr>
        <w:jc w:val="both"/>
        <w:rPr>
          <w:b/>
          <w:szCs w:val="24"/>
        </w:rPr>
      </w:pPr>
      <w:r w:rsidRPr="00EB7EAA">
        <w:rPr>
          <w:b/>
          <w:szCs w:val="24"/>
        </w:rPr>
        <w:t>Przedstawione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informacje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="00795946">
        <w:rPr>
          <w:b/>
          <w:szCs w:val="24"/>
        </w:rPr>
        <w:t>winny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odnosić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kryteriów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oceny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merytorycznej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dopuszczających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oraz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punktowych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</w:t>
      </w:r>
      <w:r w:rsidR="000B7359" w:rsidRPr="00EB7EAA">
        <w:rPr>
          <w:b/>
          <w:szCs w:val="24"/>
        </w:rPr>
        <w:t>jeśli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dotyczy)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przedstawionych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5B0F39">
        <w:rPr>
          <w:b/>
          <w:szCs w:val="24"/>
        </w:rPr>
        <w:t> </w:t>
      </w:r>
      <w:r w:rsidRPr="00EB7EAA">
        <w:rPr>
          <w:b/>
          <w:szCs w:val="24"/>
        </w:rPr>
        <w:t>załączniku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SZOOP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RPOWŚ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2014</w:t>
      </w:r>
      <w:r w:rsidR="00656606">
        <w:rPr>
          <w:b/>
          <w:szCs w:val="24"/>
        </w:rPr>
        <w:t xml:space="preserve"> </w:t>
      </w:r>
      <w:r w:rsidR="00415E30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2020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regulaminie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konkursu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osi</w:t>
      </w:r>
      <w:r w:rsidR="00656606">
        <w:rPr>
          <w:b/>
          <w:szCs w:val="24"/>
        </w:rPr>
        <w:t xml:space="preserve"> </w:t>
      </w:r>
      <w:r w:rsidR="00CB116F" w:rsidRPr="00EB7EAA">
        <w:rPr>
          <w:b/>
          <w:szCs w:val="24"/>
        </w:rPr>
        <w:t>priorytetowej,</w:t>
      </w:r>
      <w:r w:rsidR="00656606">
        <w:rPr>
          <w:b/>
          <w:szCs w:val="24"/>
        </w:rPr>
        <w:t xml:space="preserve"> </w:t>
      </w:r>
      <w:r w:rsidR="00CB116F" w:rsidRPr="00EB7EAA">
        <w:rPr>
          <w:b/>
          <w:szCs w:val="24"/>
        </w:rPr>
        <w:t>danego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działania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typu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projektu.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Winny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one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zawierać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wszystkie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dane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niezbędne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weryfikacji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projektu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wg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wspomnianych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powyżej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kryteriów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merytorycznych,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tym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również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poparte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odpowiednimi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wyliczeniami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wskaźniki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dotyczące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efektywności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finansowej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podmiotu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leczniczego.</w:t>
      </w:r>
    </w:p>
    <w:p w14:paraId="7E408F56" w14:textId="77777777" w:rsidR="00887C55" w:rsidRDefault="00061A36" w:rsidP="006E3E13">
      <w:pPr>
        <w:pStyle w:val="Nagwek2"/>
      </w:pPr>
      <w:bookmarkStart w:id="37" w:name="_Toc21079604"/>
      <w:r w:rsidRPr="00B36866">
        <w:t xml:space="preserve">9.1 </w:t>
      </w:r>
      <w:r w:rsidR="001B43A0" w:rsidRPr="00B36866">
        <w:t xml:space="preserve">Inwestycje w infrastrukturę usług ochrony </w:t>
      </w:r>
      <w:r w:rsidR="001B43A0" w:rsidRPr="006E3E13">
        <w:t>zdrowia</w:t>
      </w:r>
      <w:r w:rsidR="001B43A0" w:rsidRPr="00B36866">
        <w:t xml:space="preserve"> – Wsparcie regionalnych podmiotów leczniczych, które realizują </w:t>
      </w:r>
      <w:r w:rsidR="00887C55" w:rsidRPr="00887C55">
        <w:t>na rzecz osób dorosłych stacjonarne świadczenia opieki zdrowotnej w zakresie REHABILITACJI OGÓLNOUSTROJOWEJ dedykowanej chorobom UKŁADU KOSTNO</w:t>
      </w:r>
      <w:r w:rsidR="00887C55">
        <w:t>-</w:t>
      </w:r>
      <w:r w:rsidR="00887C55" w:rsidRPr="00887C55">
        <w:t>MIĘŚNIOWEGO</w:t>
      </w:r>
      <w:bookmarkEnd w:id="37"/>
    </w:p>
    <w:p w14:paraId="5D09A64F" w14:textId="59736AAA" w:rsidR="00B81E88" w:rsidRPr="00CE6706" w:rsidRDefault="00016014" w:rsidP="00CF081B">
      <w:pPr>
        <w:jc w:val="both"/>
        <w:rPr>
          <w:rFonts w:cs="Calibri"/>
          <w:color w:val="FF0000"/>
          <w:szCs w:val="24"/>
          <w:lang w:eastAsia="pl-PL"/>
        </w:rPr>
      </w:pPr>
      <w:r w:rsidRPr="00F61B91">
        <w:rPr>
          <w:rFonts w:cs="Calibri"/>
          <w:szCs w:val="24"/>
          <w:lang w:eastAsia="pl-PL"/>
        </w:rPr>
        <w:t>W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Studium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Wykonalności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Inwestycji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(Projektu)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należy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zawrzeć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wszelkie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informacje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niezbędne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do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oceny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przedsięwzięcia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z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punktu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widzenia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kryteriów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dopuszczających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(</w:t>
      </w:r>
      <w:r w:rsidR="002F743B" w:rsidRPr="00F61B91">
        <w:rPr>
          <w:rFonts w:cs="Calibri"/>
          <w:szCs w:val="24"/>
          <w:lang w:eastAsia="pl-PL"/>
        </w:rPr>
        <w:t>B1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ogólnych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B2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sektorowych),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jak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również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punktowych</w:t>
      </w:r>
      <w:r w:rsidR="004509D6">
        <w:rPr>
          <w:rFonts w:cs="Calibri"/>
          <w:szCs w:val="24"/>
          <w:lang w:eastAsia="pl-PL"/>
        </w:rPr>
        <w:t xml:space="preserve"> (C)</w:t>
      </w:r>
      <w:r w:rsidRPr="00F61B91">
        <w:rPr>
          <w:rFonts w:cs="Calibri"/>
          <w:szCs w:val="24"/>
          <w:lang w:eastAsia="pl-PL"/>
        </w:rPr>
        <w:t>.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EE6BF6" w:rsidRPr="00F61B91">
        <w:rPr>
          <w:rFonts w:cs="Calibri"/>
          <w:szCs w:val="24"/>
          <w:lang w:eastAsia="pl-PL"/>
        </w:rPr>
        <w:t>W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EE6BF6" w:rsidRPr="00F61B91">
        <w:rPr>
          <w:rFonts w:cs="Calibri"/>
          <w:szCs w:val="24"/>
          <w:lang w:eastAsia="pl-PL"/>
        </w:rPr>
        <w:t>szczególności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EE6BF6" w:rsidRPr="00F61B91">
        <w:rPr>
          <w:rFonts w:cs="Calibri"/>
          <w:szCs w:val="24"/>
          <w:lang w:eastAsia="pl-PL"/>
        </w:rPr>
        <w:t>informacje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EE6BF6" w:rsidRPr="00F61B91">
        <w:rPr>
          <w:rFonts w:cs="Calibri"/>
          <w:szCs w:val="24"/>
          <w:lang w:eastAsia="pl-PL"/>
        </w:rPr>
        <w:t>te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EE6BF6" w:rsidRPr="00F61B91">
        <w:rPr>
          <w:rFonts w:cs="Calibri"/>
          <w:szCs w:val="24"/>
          <w:lang w:eastAsia="pl-PL"/>
        </w:rPr>
        <w:t>powinny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świadczyć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o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spełnieniu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wszystkich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kryteriów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dopuszczających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obu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kategorii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(B1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i</w:t>
      </w:r>
      <w:r w:rsidR="00CB676A" w:rsidRPr="00F61B91">
        <w:rPr>
          <w:rFonts w:cs="Calibri"/>
          <w:szCs w:val="24"/>
          <w:lang w:eastAsia="pl-PL"/>
        </w:rPr>
        <w:t> </w:t>
      </w:r>
      <w:r w:rsidR="002F743B" w:rsidRPr="00F61B91">
        <w:rPr>
          <w:rFonts w:cs="Calibri"/>
          <w:szCs w:val="24"/>
          <w:lang w:eastAsia="pl-PL"/>
        </w:rPr>
        <w:t>B2),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jak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również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0A138E" w:rsidRPr="00F61B91">
        <w:rPr>
          <w:rFonts w:cs="Calibri"/>
          <w:szCs w:val="24"/>
          <w:lang w:eastAsia="pl-PL"/>
        </w:rPr>
        <w:t>umożliwi</w:t>
      </w:r>
      <w:r w:rsidR="002F743B" w:rsidRPr="00F61B91">
        <w:rPr>
          <w:rFonts w:cs="Calibri"/>
          <w:szCs w:val="24"/>
          <w:lang w:eastAsia="pl-PL"/>
        </w:rPr>
        <w:t>ać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przypisanie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przedsięwzięciu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adekwatnej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punktacji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(ocenę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2F743B" w:rsidRPr="00F61B91">
        <w:rPr>
          <w:rFonts w:cs="Calibri"/>
          <w:szCs w:val="24"/>
          <w:lang w:eastAsia="pl-PL"/>
        </w:rPr>
        <w:t>punktową)</w:t>
      </w:r>
      <w:r w:rsidR="009A7C3D" w:rsidRPr="00F61B91">
        <w:rPr>
          <w:rFonts w:cs="Calibri"/>
          <w:szCs w:val="24"/>
          <w:lang w:eastAsia="pl-PL"/>
        </w:rPr>
        <w:t>.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="00CE6706" w:rsidRPr="00474DFA">
        <w:rPr>
          <w:rFonts w:eastAsia="Times New Roman" w:cs="Arial"/>
          <w:szCs w:val="20"/>
        </w:rPr>
        <w:t xml:space="preserve">Instytucja Zarządzająca RPOWŚ 2014-2020, zgodnie z art. 45 ust. 3 ustawy wdrożeniowej, dopuszcza możliwość uzupełnienia lub poprawienia dokumentacji projektowej w części odnoszącej się do </w:t>
      </w:r>
      <w:r w:rsidR="00CE6706" w:rsidRPr="00474DFA">
        <w:rPr>
          <w:rFonts w:cs="Calibri"/>
          <w:szCs w:val="24"/>
          <w:lang w:eastAsia="pl-PL"/>
        </w:rPr>
        <w:t>kryteriów dopuszczających (B1 ogólnych i B2 sektorowych) oraz punktowych (C)</w:t>
      </w:r>
      <w:r w:rsidR="00CE6706" w:rsidRPr="00474DFA">
        <w:rPr>
          <w:rFonts w:eastAsia="Times New Roman" w:cs="Arial"/>
          <w:szCs w:val="20"/>
        </w:rPr>
        <w:t xml:space="preserve"> na etapie oceny spełniania kryteriów wyboru.</w:t>
      </w:r>
    </w:p>
    <w:p w14:paraId="2623A5BC" w14:textId="24C7E966" w:rsidR="00B81E88" w:rsidRPr="00B81E88" w:rsidRDefault="00B81E88" w:rsidP="00CF081B">
      <w:pPr>
        <w:jc w:val="both"/>
        <w:rPr>
          <w:rFonts w:cs="Calibri"/>
          <w:b/>
          <w:bCs/>
          <w:szCs w:val="24"/>
          <w:lang w:eastAsia="pl-PL"/>
        </w:rPr>
      </w:pPr>
      <w:r w:rsidRPr="00B81E88">
        <w:rPr>
          <w:rFonts w:cs="Calibri"/>
          <w:b/>
          <w:bCs/>
          <w:szCs w:val="24"/>
          <w:lang w:eastAsia="pl-PL"/>
        </w:rPr>
        <w:lastRenderedPageBreak/>
        <w:t>Informacje zawarte w tej części Studium Wykonalności Inwestycji (Projektu) powinny być zgodne z informacjami oraz danymi liczbowymi wskazanymi we właściwych Oświadczeniach stanowiących integralne części dokumentacji aplikacyjnej.</w:t>
      </w:r>
    </w:p>
    <w:p w14:paraId="0DC7C344" w14:textId="438FB57B" w:rsidR="002540C9" w:rsidRPr="00F61B91" w:rsidRDefault="009A7C3D" w:rsidP="00CF081B">
      <w:pPr>
        <w:jc w:val="both"/>
      </w:pPr>
      <w:r w:rsidRPr="00F61B91">
        <w:rPr>
          <w:rFonts w:cs="Calibri"/>
          <w:szCs w:val="24"/>
          <w:lang w:eastAsia="pl-PL"/>
        </w:rPr>
        <w:t>Poniżej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przedstawiono</w:t>
      </w:r>
      <w:r w:rsidR="00656606" w:rsidRPr="00F61B91">
        <w:rPr>
          <w:rFonts w:cs="Calibri"/>
          <w:szCs w:val="24"/>
          <w:lang w:eastAsia="pl-PL"/>
        </w:rPr>
        <w:t xml:space="preserve"> </w:t>
      </w:r>
      <w:r w:rsidRPr="00F61B91">
        <w:rPr>
          <w:rFonts w:cs="Calibri"/>
          <w:szCs w:val="24"/>
          <w:lang w:eastAsia="pl-PL"/>
        </w:rPr>
        <w:t>najważniejsze</w:t>
      </w:r>
      <w:r w:rsidR="00121682">
        <w:rPr>
          <w:rFonts w:cs="Calibri"/>
          <w:szCs w:val="24"/>
          <w:lang w:eastAsia="pl-PL"/>
        </w:rPr>
        <w:t xml:space="preserve"> </w:t>
      </w:r>
      <w:r w:rsidR="00121682" w:rsidRPr="00474DFA">
        <w:rPr>
          <w:rFonts w:cs="Calibri"/>
          <w:szCs w:val="24"/>
          <w:lang w:eastAsia="pl-PL"/>
        </w:rPr>
        <w:t>kwestie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które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warunkuj</w:t>
      </w:r>
      <w:r w:rsidR="00121682" w:rsidRPr="00474DFA">
        <w:rPr>
          <w:rFonts w:cs="Calibri"/>
          <w:szCs w:val="24"/>
          <w:lang w:eastAsia="pl-PL"/>
        </w:rPr>
        <w:t>ą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zgodność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ze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specyfik</w:t>
      </w:r>
      <w:r w:rsidR="00837595" w:rsidRPr="00474DFA">
        <w:rPr>
          <w:rFonts w:cs="Calibri"/>
          <w:szCs w:val="24"/>
          <w:lang w:eastAsia="pl-PL"/>
        </w:rPr>
        <w:t>ą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konkursu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(spełnienie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kryteriów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dopuszczających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Pr="00474DFA">
        <w:rPr>
          <w:rFonts w:cs="Calibri"/>
          <w:szCs w:val="24"/>
          <w:lang w:eastAsia="pl-PL"/>
        </w:rPr>
        <w:t>sektorowych</w:t>
      </w:r>
      <w:r w:rsidR="00656606" w:rsidRPr="00474DFA">
        <w:rPr>
          <w:rFonts w:cs="Calibri"/>
          <w:szCs w:val="24"/>
          <w:lang w:eastAsia="pl-PL"/>
        </w:rPr>
        <w:t xml:space="preserve"> </w:t>
      </w:r>
      <w:r w:rsidR="007141E9" w:rsidRPr="00474DFA">
        <w:rPr>
          <w:rFonts w:cs="Calibri"/>
          <w:szCs w:val="24"/>
          <w:lang w:eastAsia="pl-PL"/>
        </w:rPr>
        <w:t xml:space="preserve">- </w:t>
      </w:r>
      <w:r w:rsidRPr="00474DFA">
        <w:rPr>
          <w:rFonts w:cs="Calibri"/>
          <w:szCs w:val="24"/>
          <w:lang w:eastAsia="pl-PL"/>
        </w:rPr>
        <w:t>B2</w:t>
      </w:r>
      <w:r w:rsidR="007141E9" w:rsidRPr="00474DFA">
        <w:rPr>
          <w:rFonts w:cs="Calibri"/>
          <w:szCs w:val="24"/>
          <w:lang w:eastAsia="pl-PL"/>
        </w:rPr>
        <w:t xml:space="preserve"> oraz punktowych - C)</w:t>
      </w:r>
      <w:r w:rsidR="002F743B" w:rsidRPr="00474DFA">
        <w:rPr>
          <w:rFonts w:cs="Calibri"/>
          <w:szCs w:val="24"/>
          <w:lang w:eastAsia="pl-PL"/>
        </w:rPr>
        <w:t>:</w:t>
      </w:r>
    </w:p>
    <w:p w14:paraId="439AC645" w14:textId="77777777" w:rsidR="004C1FE6" w:rsidRDefault="004C1FE6" w:rsidP="00CF081B">
      <w:pPr>
        <w:pStyle w:val="Akapitzlist"/>
        <w:rPr>
          <w:b/>
          <w:color w:val="000000"/>
          <w:szCs w:val="20"/>
        </w:rPr>
      </w:pPr>
      <w:r w:rsidRPr="00F61B91">
        <w:rPr>
          <w:b/>
          <w:color w:val="000000"/>
          <w:szCs w:val="20"/>
        </w:rPr>
        <w:t>Czy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projekt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wpisuje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się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w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narzędzie</w:t>
      </w:r>
      <w:r w:rsidR="00656606" w:rsidRPr="00F61B91">
        <w:rPr>
          <w:b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Policy</w:t>
      </w:r>
      <w:r w:rsidR="00656606" w:rsidRPr="000E6CDD">
        <w:rPr>
          <w:b/>
          <w:iCs/>
          <w:color w:val="000000"/>
          <w:szCs w:val="20"/>
        </w:rPr>
        <w:t xml:space="preserve"> </w:t>
      </w:r>
      <w:proofErr w:type="spellStart"/>
      <w:r w:rsidRPr="000E6CDD">
        <w:rPr>
          <w:b/>
          <w:iCs/>
          <w:color w:val="000000"/>
          <w:szCs w:val="20"/>
        </w:rPr>
        <w:t>paper</w:t>
      </w:r>
      <w:proofErr w:type="spellEnd"/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dla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ochrony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zdrowia,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którego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dotyczy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wsparcie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oraz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czy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jest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zgodny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z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Planem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działań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w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sektorze</w:t>
      </w:r>
      <w:r w:rsidR="00656606" w:rsidRPr="000E6CDD">
        <w:rPr>
          <w:b/>
          <w:iCs/>
          <w:color w:val="000000"/>
          <w:szCs w:val="20"/>
        </w:rPr>
        <w:t xml:space="preserve"> </w:t>
      </w:r>
      <w:r w:rsidRPr="000E6CDD">
        <w:rPr>
          <w:b/>
          <w:iCs/>
          <w:color w:val="000000"/>
          <w:szCs w:val="20"/>
        </w:rPr>
        <w:t>zdrowia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na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dany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rok?</w:t>
      </w:r>
    </w:p>
    <w:p w14:paraId="23B5123F" w14:textId="77777777" w:rsidR="00457F16" w:rsidRDefault="00457F16" w:rsidP="00457F16">
      <w:r>
        <w:t xml:space="preserve">Zgodnie z Narzędziem 13 zdefiniowanym w dokumencie Krajowe ramy strategiczne. </w:t>
      </w:r>
      <w:r w:rsidRPr="00D84218">
        <w:rPr>
          <w:i/>
          <w:iCs/>
        </w:rPr>
        <w:t xml:space="preserve">Policy </w:t>
      </w:r>
      <w:proofErr w:type="spellStart"/>
      <w:r w:rsidRPr="00D84218">
        <w:rPr>
          <w:i/>
          <w:iCs/>
        </w:rPr>
        <w:t>paper</w:t>
      </w:r>
      <w:proofErr w:type="spellEnd"/>
      <w:r w:rsidRPr="00D84218">
        <w:rPr>
          <w:i/>
          <w:iCs/>
        </w:rPr>
        <w:t xml:space="preserve"> dla ochrony zdrowia na lata 2014 – 2020</w:t>
      </w:r>
      <w:r>
        <w:t xml:space="preserve"> oraz z uzgodnionym przez Komitet Sterujący </w:t>
      </w:r>
      <w:r w:rsidRPr="00104B72">
        <w:rPr>
          <w:i/>
          <w:iCs/>
        </w:rPr>
        <w:t>Planem działań w sektorze zdrowia</w:t>
      </w:r>
      <w:r>
        <w:t xml:space="preserve"> planowany do realizacji zakres rzeczowy może obejmować jedynie wsparcie regionalnych podmiotów leczniczych w zakresie przeprowadzenia robót budowlanych i / lub doposażenia ich w sprzęt medyczny związany z udzielaniem na rzecz osób dorosłych stacjonarnych świadczeń opieki zdrowotnej w zakresie rehabilitacji ogólnoustrojowej dedykowanej chorobom układu kostno-mięśniowego.</w:t>
      </w:r>
    </w:p>
    <w:p w14:paraId="7489B1CE" w14:textId="77777777" w:rsidR="00457F16" w:rsidRPr="00457F16" w:rsidRDefault="00457F16" w:rsidP="00457F16">
      <w:r>
        <w:t>W związku z powyższym należy przedstawić planowany zakres wsparcia, który został wskazany w projekcie, w szczególności czy dotyczy on:</w:t>
      </w:r>
    </w:p>
    <w:p w14:paraId="61773182" w14:textId="77777777" w:rsidR="00104B72" w:rsidRPr="008F3B18" w:rsidRDefault="00104B72" w:rsidP="00104B72">
      <w:pPr>
        <w:pStyle w:val="Akapitzlist"/>
        <w:numPr>
          <w:ilvl w:val="0"/>
          <w:numId w:val="46"/>
        </w:numPr>
        <w:spacing w:line="240" w:lineRule="auto"/>
        <w:ind w:left="567"/>
        <w:rPr>
          <w:color w:val="000000"/>
          <w:szCs w:val="20"/>
        </w:rPr>
      </w:pPr>
      <w:r w:rsidRPr="008F3B18">
        <w:rPr>
          <w:color w:val="000000"/>
          <w:szCs w:val="20"/>
        </w:rPr>
        <w:t>komórek organizacyjnych o charakterze zachowawczym realizujących stacjonarną rehabilitację ogólnoustrojową dedykowaną chorobom układu kostno-mięśniowego (kod</w:t>
      </w:r>
      <w:r>
        <w:rPr>
          <w:rStyle w:val="Odwoanieprzypisudolnego"/>
          <w:color w:val="000000"/>
          <w:szCs w:val="20"/>
        </w:rPr>
        <w:footnoteReference w:id="27"/>
      </w:r>
      <w:r w:rsidRPr="008F3B18">
        <w:rPr>
          <w:color w:val="000000"/>
          <w:szCs w:val="20"/>
        </w:rPr>
        <w:t xml:space="preserve">: </w:t>
      </w:r>
      <w:r w:rsidRPr="00335723">
        <w:rPr>
          <w:b/>
          <w:bCs/>
          <w:color w:val="000000"/>
          <w:szCs w:val="20"/>
        </w:rPr>
        <w:t>4300; 4302</w:t>
      </w:r>
      <w:r w:rsidRPr="008F3B18">
        <w:rPr>
          <w:color w:val="000000"/>
          <w:szCs w:val="20"/>
        </w:rPr>
        <w:t>),</w:t>
      </w:r>
    </w:p>
    <w:p w14:paraId="34B323DD" w14:textId="77777777" w:rsidR="00104B72" w:rsidRPr="008F3B18" w:rsidRDefault="00104B72" w:rsidP="00104B72">
      <w:pPr>
        <w:pStyle w:val="Akapitzlist"/>
        <w:numPr>
          <w:ilvl w:val="0"/>
          <w:numId w:val="46"/>
        </w:numPr>
        <w:spacing w:line="240" w:lineRule="auto"/>
        <w:ind w:left="567"/>
        <w:rPr>
          <w:color w:val="000000"/>
          <w:szCs w:val="20"/>
        </w:rPr>
      </w:pPr>
      <w:r w:rsidRPr="008F3B18">
        <w:rPr>
          <w:color w:val="000000"/>
          <w:szCs w:val="20"/>
        </w:rPr>
        <w:t>komórek organizacyjnych realizujących rehabilitację ogólnoustrojową w warunkach ambulatoryjnych, domowych oraz ośrodka lub oddziału dziennego, które działają lub będą działać w strukturze podmiotu leczniczego udzielającego świadczeń zdrowotnych objętych wsparciem</w:t>
      </w:r>
    </w:p>
    <w:p w14:paraId="5773B4BE" w14:textId="77777777" w:rsidR="00104B72" w:rsidRPr="008F3B18" w:rsidRDefault="00104B72" w:rsidP="00104B72">
      <w:pPr>
        <w:pStyle w:val="Akapitzlist"/>
        <w:numPr>
          <w:ilvl w:val="0"/>
          <w:numId w:val="46"/>
        </w:numPr>
        <w:spacing w:line="240" w:lineRule="auto"/>
        <w:ind w:left="567"/>
        <w:rPr>
          <w:color w:val="000000"/>
          <w:szCs w:val="20"/>
        </w:rPr>
      </w:pPr>
      <w:r w:rsidRPr="008F3B18">
        <w:rPr>
          <w:color w:val="000000"/>
          <w:szCs w:val="20"/>
        </w:rPr>
        <w:t>pracowni diagnostycznych, które współpracują przy udzielaniu świadczeń opieki zdrowotnej z zakresu rehabilitacji ogólnoustrojowej dedykowanej chorobom układu kostno</w:t>
      </w:r>
      <w:r>
        <w:rPr>
          <w:color w:val="000000"/>
          <w:szCs w:val="20"/>
        </w:rPr>
        <w:t>-</w:t>
      </w:r>
      <w:r w:rsidRPr="008F3B18">
        <w:rPr>
          <w:color w:val="000000"/>
          <w:szCs w:val="20"/>
        </w:rPr>
        <w:t>mięśniowego oraz działają w strukturze organizacyjnej podmiotu leczniczego udzielającego świadczeń zdrowotnych z zakresu objętego wsparciem (tylko jako element projektu)</w:t>
      </w:r>
    </w:p>
    <w:p w14:paraId="0CE9C69A" w14:textId="77777777" w:rsidR="00104B72" w:rsidRPr="008F3B18" w:rsidRDefault="00104B72" w:rsidP="00104B72">
      <w:pPr>
        <w:pStyle w:val="Akapitzlist"/>
        <w:numPr>
          <w:ilvl w:val="0"/>
          <w:numId w:val="46"/>
        </w:numPr>
        <w:spacing w:line="240" w:lineRule="auto"/>
        <w:ind w:left="567"/>
        <w:rPr>
          <w:color w:val="000000"/>
          <w:szCs w:val="20"/>
        </w:rPr>
      </w:pPr>
      <w:r w:rsidRPr="008F3B18">
        <w:rPr>
          <w:color w:val="000000"/>
          <w:szCs w:val="20"/>
        </w:rPr>
        <w:lastRenderedPageBreak/>
        <w:t>rozwiązań w zakresie technologii informacyjno</w:t>
      </w:r>
      <w:r>
        <w:rPr>
          <w:color w:val="000000"/>
          <w:szCs w:val="20"/>
        </w:rPr>
        <w:t>-</w:t>
      </w:r>
      <w:r w:rsidRPr="008F3B18">
        <w:rPr>
          <w:color w:val="000000"/>
          <w:szCs w:val="20"/>
        </w:rPr>
        <w:t>komunikacyjnych (oprogramowanie, sprzęt) w zakresie w jakim rozwiązania ICT:</w:t>
      </w:r>
    </w:p>
    <w:p w14:paraId="7F74B2CC" w14:textId="77777777" w:rsidR="00104B72" w:rsidRPr="00335723" w:rsidRDefault="00104B72" w:rsidP="00104B72">
      <w:pPr>
        <w:pStyle w:val="Akapitzlist"/>
        <w:numPr>
          <w:ilvl w:val="0"/>
          <w:numId w:val="47"/>
        </w:numPr>
        <w:spacing w:line="240" w:lineRule="auto"/>
        <w:rPr>
          <w:color w:val="000000"/>
          <w:szCs w:val="20"/>
        </w:rPr>
      </w:pPr>
      <w:r w:rsidRPr="00335723">
        <w:rPr>
          <w:color w:val="000000"/>
          <w:szCs w:val="20"/>
        </w:rPr>
        <w:t xml:space="preserve">są związane z udzielaniem świadczeń zdrowotnych objętych wsparciem </w:t>
      </w:r>
    </w:p>
    <w:p w14:paraId="3AFC266F" w14:textId="77777777" w:rsidR="00104B72" w:rsidRPr="00335723" w:rsidRDefault="00104B72" w:rsidP="00104B72">
      <w:pPr>
        <w:spacing w:line="240" w:lineRule="auto"/>
        <w:rPr>
          <w:color w:val="000000"/>
          <w:szCs w:val="20"/>
        </w:rPr>
      </w:pPr>
      <w:r w:rsidRPr="00335723">
        <w:rPr>
          <w:color w:val="000000"/>
          <w:szCs w:val="20"/>
        </w:rPr>
        <w:t>ORAZ</w:t>
      </w:r>
    </w:p>
    <w:p w14:paraId="765B4092" w14:textId="77777777" w:rsidR="008F3B18" w:rsidRPr="00104B72" w:rsidRDefault="00104B72" w:rsidP="0016751D">
      <w:pPr>
        <w:pStyle w:val="Akapitzlist"/>
        <w:numPr>
          <w:ilvl w:val="0"/>
          <w:numId w:val="47"/>
        </w:numPr>
        <w:spacing w:line="240" w:lineRule="auto"/>
        <w:rPr>
          <w:color w:val="000000"/>
          <w:szCs w:val="20"/>
        </w:rPr>
      </w:pPr>
      <w:r w:rsidRPr="009048A5">
        <w:rPr>
          <w:color w:val="000000"/>
          <w:szCs w:val="20"/>
        </w:rPr>
        <w:t xml:space="preserve">nie są związane z realizacją działań wskazanych w Narzędziu 26 Policy Paper – upowszechnienie wymiany elektronicznej dokumentacji medycznej oraz Narzędziu 27 Policy Paper – upowszechnienie wykorzystania </w:t>
      </w:r>
      <w:proofErr w:type="spellStart"/>
      <w:r w:rsidRPr="009048A5">
        <w:rPr>
          <w:color w:val="000000"/>
          <w:szCs w:val="20"/>
        </w:rPr>
        <w:t>telemedycyny</w:t>
      </w:r>
      <w:proofErr w:type="spellEnd"/>
      <w:r w:rsidRPr="009048A5">
        <w:rPr>
          <w:color w:val="000000"/>
          <w:szCs w:val="20"/>
        </w:rPr>
        <w:t xml:space="preserve"> (tylko jako element projektu).</w:t>
      </w:r>
    </w:p>
    <w:p w14:paraId="25C90F7C" w14:textId="7B3209F8" w:rsidR="008A7B4A" w:rsidRPr="00F61B91" w:rsidRDefault="008A7B4A" w:rsidP="00CF081B">
      <w:pPr>
        <w:pStyle w:val="Akapitzlist"/>
        <w:rPr>
          <w:b/>
          <w:color w:val="000000"/>
          <w:szCs w:val="20"/>
        </w:rPr>
      </w:pPr>
      <w:r w:rsidRPr="00F61B91">
        <w:rPr>
          <w:b/>
          <w:color w:val="000000"/>
          <w:szCs w:val="20"/>
        </w:rPr>
        <w:t>Czy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świadczenia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opieki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zdrowotnej,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mieszczące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s</w:t>
      </w:r>
      <w:r w:rsidR="00244531" w:rsidRPr="00F61B91">
        <w:rPr>
          <w:b/>
          <w:color w:val="000000"/>
          <w:szCs w:val="20"/>
        </w:rPr>
        <w:t>ię</w:t>
      </w:r>
      <w:r w:rsidR="00656606" w:rsidRPr="00F61B91">
        <w:rPr>
          <w:b/>
          <w:color w:val="000000"/>
          <w:szCs w:val="20"/>
        </w:rPr>
        <w:t xml:space="preserve"> </w:t>
      </w:r>
      <w:r w:rsidR="00244531" w:rsidRPr="00F61B91">
        <w:rPr>
          <w:b/>
          <w:color w:val="000000"/>
          <w:szCs w:val="20"/>
        </w:rPr>
        <w:t>w</w:t>
      </w:r>
      <w:r w:rsidR="00656606" w:rsidRPr="00F61B91">
        <w:rPr>
          <w:b/>
          <w:color w:val="000000"/>
          <w:szCs w:val="20"/>
        </w:rPr>
        <w:t xml:space="preserve"> </w:t>
      </w:r>
      <w:r w:rsidR="00244531" w:rsidRPr="00F61B91">
        <w:rPr>
          <w:b/>
          <w:color w:val="000000"/>
          <w:szCs w:val="20"/>
        </w:rPr>
        <w:t>zakresie</w:t>
      </w:r>
      <w:r w:rsidR="00656606" w:rsidRPr="00F61B91">
        <w:rPr>
          <w:b/>
          <w:color w:val="000000"/>
          <w:szCs w:val="20"/>
        </w:rPr>
        <w:t xml:space="preserve"> </w:t>
      </w:r>
      <w:r w:rsidR="00244531" w:rsidRPr="00F61B91">
        <w:rPr>
          <w:b/>
          <w:color w:val="000000"/>
          <w:szCs w:val="20"/>
        </w:rPr>
        <w:t>lub</w:t>
      </w:r>
      <w:r w:rsidR="00656606" w:rsidRPr="00F61B91">
        <w:rPr>
          <w:b/>
          <w:color w:val="000000"/>
          <w:szCs w:val="20"/>
        </w:rPr>
        <w:t xml:space="preserve"> </w:t>
      </w:r>
      <w:r w:rsidR="00244531" w:rsidRPr="00F61B91">
        <w:rPr>
          <w:b/>
          <w:color w:val="000000"/>
          <w:szCs w:val="20"/>
        </w:rPr>
        <w:t>pozostają</w:t>
      </w:r>
      <w:r w:rsidR="000E6CDD">
        <w:rPr>
          <w:b/>
          <w:color w:val="000000"/>
          <w:szCs w:val="20"/>
        </w:rPr>
        <w:t xml:space="preserve"> </w:t>
      </w:r>
      <w:r w:rsidR="00244531" w:rsidRPr="00F61B91">
        <w:rPr>
          <w:b/>
          <w:color w:val="000000"/>
          <w:szCs w:val="20"/>
        </w:rPr>
        <w:t>w</w:t>
      </w:r>
      <w:r w:rsidR="007354A3" w:rsidRPr="00F61B91">
        <w:rPr>
          <w:b/>
          <w:color w:val="000000"/>
          <w:szCs w:val="20"/>
        </w:rPr>
        <w:t> </w:t>
      </w:r>
      <w:r w:rsidRPr="00F61B91">
        <w:rPr>
          <w:b/>
          <w:color w:val="000000"/>
          <w:szCs w:val="20"/>
        </w:rPr>
        <w:t>związku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z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zakresem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objętym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wsparciem,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są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finansowane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ze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środków</w:t>
      </w:r>
      <w:r w:rsidR="00656606" w:rsidRPr="00F61B91">
        <w:rPr>
          <w:b/>
          <w:color w:val="000000"/>
          <w:szCs w:val="20"/>
        </w:rPr>
        <w:t xml:space="preserve"> </w:t>
      </w:r>
      <w:r w:rsidRPr="00F61B91">
        <w:rPr>
          <w:b/>
          <w:color w:val="000000"/>
          <w:szCs w:val="20"/>
        </w:rPr>
        <w:t>publicznych?</w:t>
      </w:r>
    </w:p>
    <w:p w14:paraId="7C2A2659" w14:textId="49B56A93" w:rsidR="008B07B8" w:rsidRPr="00873E82" w:rsidRDefault="00244531" w:rsidP="008B07B8">
      <w:pPr>
        <w:spacing w:after="0" w:afterAutospacing="0"/>
        <w:jc w:val="both"/>
        <w:rPr>
          <w:szCs w:val="20"/>
        </w:rPr>
      </w:pPr>
      <w:r w:rsidRPr="00873E82">
        <w:rPr>
          <w:szCs w:val="20"/>
        </w:rPr>
        <w:t>Podmiot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leczniczy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winien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wykazać,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świadczenia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opieki</w:t>
      </w:r>
      <w:r w:rsidR="00656606" w:rsidRPr="00873E82">
        <w:rPr>
          <w:szCs w:val="20"/>
        </w:rPr>
        <w:t xml:space="preserve"> </w:t>
      </w:r>
      <w:r w:rsidRPr="00873E82">
        <w:rPr>
          <w:szCs w:val="20"/>
        </w:rPr>
        <w:t>zdrowotnej</w:t>
      </w:r>
      <w:r w:rsidR="008B07B8" w:rsidRPr="00873E82">
        <w:rPr>
          <w:szCs w:val="20"/>
        </w:rPr>
        <w:t>, zbieżne z zakresem wsparcia</w:t>
      </w:r>
      <w:r w:rsidR="00E46E60" w:rsidRPr="00873E82">
        <w:rPr>
          <w:szCs w:val="20"/>
        </w:rPr>
        <w:t>:</w:t>
      </w:r>
    </w:p>
    <w:p w14:paraId="02F91BAB" w14:textId="4FC6706E" w:rsidR="007A3E9B" w:rsidRPr="00CF5C60" w:rsidRDefault="0015507B" w:rsidP="004140C7">
      <w:pPr>
        <w:pStyle w:val="Akapitzlist"/>
        <w:numPr>
          <w:ilvl w:val="0"/>
          <w:numId w:val="51"/>
        </w:numPr>
        <w:rPr>
          <w:color w:val="000000"/>
          <w:szCs w:val="20"/>
        </w:rPr>
      </w:pPr>
      <w:r w:rsidRPr="00474DFA">
        <w:rPr>
          <w:szCs w:val="20"/>
        </w:rPr>
        <w:t>które</w:t>
      </w:r>
      <w:r>
        <w:rPr>
          <w:color w:val="FF0000"/>
          <w:szCs w:val="20"/>
        </w:rPr>
        <w:t xml:space="preserve"> </w:t>
      </w:r>
      <w:r w:rsidR="00244531" w:rsidRPr="00CF5C60">
        <w:rPr>
          <w:color w:val="000000"/>
          <w:szCs w:val="20"/>
        </w:rPr>
        <w:t>wykonuje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na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podstawie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stosownej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umowy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o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udzielenie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świadczeń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ze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środków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publicznych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zawartej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z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Dyrektorem</w:t>
      </w:r>
      <w:r w:rsidR="00656606" w:rsidRPr="00CF5C60">
        <w:rPr>
          <w:color w:val="000000"/>
          <w:szCs w:val="20"/>
        </w:rPr>
        <w:t xml:space="preserve"> </w:t>
      </w:r>
      <w:r w:rsidR="00244531" w:rsidRPr="00CF5C60">
        <w:rPr>
          <w:color w:val="000000"/>
          <w:szCs w:val="20"/>
        </w:rPr>
        <w:t>od</w:t>
      </w:r>
      <w:r w:rsidR="00A87F7C" w:rsidRPr="00CF5C60">
        <w:rPr>
          <w:color w:val="000000"/>
          <w:szCs w:val="20"/>
        </w:rPr>
        <w:t>działu</w:t>
      </w:r>
      <w:r w:rsidR="00656606" w:rsidRPr="00CF5C60">
        <w:rPr>
          <w:color w:val="000000"/>
          <w:szCs w:val="20"/>
        </w:rPr>
        <w:t xml:space="preserve"> </w:t>
      </w:r>
      <w:r w:rsidR="00A87F7C" w:rsidRPr="00CF5C60">
        <w:rPr>
          <w:color w:val="000000"/>
          <w:szCs w:val="20"/>
        </w:rPr>
        <w:t>wojewódzkiego</w:t>
      </w:r>
      <w:r w:rsidR="00656606" w:rsidRPr="00CF5C60">
        <w:rPr>
          <w:color w:val="000000"/>
          <w:szCs w:val="20"/>
        </w:rPr>
        <w:t xml:space="preserve"> </w:t>
      </w:r>
      <w:r w:rsidR="00A87F7C" w:rsidRPr="00CF5C60">
        <w:rPr>
          <w:color w:val="000000"/>
          <w:szCs w:val="20"/>
        </w:rPr>
        <w:t>NFZ</w:t>
      </w:r>
      <w:r w:rsidR="00E46E60" w:rsidRPr="00CF5C60">
        <w:rPr>
          <w:color w:val="000000"/>
          <w:szCs w:val="20"/>
        </w:rPr>
        <w:t>,</w:t>
      </w:r>
      <w:r w:rsidR="00656606" w:rsidRPr="00CF5C60">
        <w:rPr>
          <w:color w:val="000000"/>
          <w:szCs w:val="20"/>
        </w:rPr>
        <w:t xml:space="preserve"> </w:t>
      </w:r>
    </w:p>
    <w:p w14:paraId="0D9D3549" w14:textId="77777777" w:rsidR="00474DFA" w:rsidRPr="00474DFA" w:rsidRDefault="0015507B" w:rsidP="00CF081B">
      <w:pPr>
        <w:pStyle w:val="Akapitzlist"/>
        <w:numPr>
          <w:ilvl w:val="0"/>
          <w:numId w:val="51"/>
        </w:numPr>
        <w:rPr>
          <w:szCs w:val="20"/>
          <w:u w:val="single"/>
        </w:rPr>
      </w:pPr>
      <w:r w:rsidRPr="00474DFA">
        <w:rPr>
          <w:szCs w:val="20"/>
        </w:rPr>
        <w:t xml:space="preserve">które </w:t>
      </w:r>
      <w:r w:rsidR="006607C1" w:rsidRPr="00474DFA">
        <w:rPr>
          <w:szCs w:val="20"/>
        </w:rPr>
        <w:t xml:space="preserve">związane są z rozwojem działalności medycznej, </w:t>
      </w:r>
      <w:r w:rsidRPr="00474DFA">
        <w:rPr>
          <w:szCs w:val="20"/>
        </w:rPr>
        <w:t>na działalność</w:t>
      </w:r>
      <w:r w:rsidR="006607C1" w:rsidRPr="00474DFA">
        <w:rPr>
          <w:szCs w:val="20"/>
        </w:rPr>
        <w:t xml:space="preserve"> któr</w:t>
      </w:r>
      <w:r w:rsidRPr="00474DFA">
        <w:rPr>
          <w:szCs w:val="20"/>
        </w:rPr>
        <w:t>ej</w:t>
      </w:r>
      <w:r w:rsidR="006607C1" w:rsidRPr="00474DFA">
        <w:rPr>
          <w:szCs w:val="20"/>
        </w:rPr>
        <w:t xml:space="preserve"> podmiot leczniczy </w:t>
      </w:r>
      <w:r w:rsidRPr="00474DFA">
        <w:rPr>
          <w:szCs w:val="20"/>
        </w:rPr>
        <w:t xml:space="preserve">najpóźniej w kolejnym okresie kontraktowania świadczeń po zakończeniu realizacji projektu </w:t>
      </w:r>
      <w:r w:rsidR="006607C1" w:rsidRPr="00474DFA">
        <w:rPr>
          <w:szCs w:val="20"/>
        </w:rPr>
        <w:t xml:space="preserve">zawrze </w:t>
      </w:r>
      <w:r w:rsidRPr="00474DFA">
        <w:rPr>
          <w:szCs w:val="20"/>
        </w:rPr>
        <w:t xml:space="preserve">z Dyrektorem oddziału wojewódzkiego NFZ </w:t>
      </w:r>
      <w:r w:rsidR="006607C1" w:rsidRPr="00474DFA">
        <w:rPr>
          <w:szCs w:val="20"/>
        </w:rPr>
        <w:t>umowę o udzielanie świadczeń ze środków publicznych</w:t>
      </w:r>
    </w:p>
    <w:p w14:paraId="5213E589" w14:textId="6311DE66" w:rsidR="00244531" w:rsidRPr="00474DFA" w:rsidRDefault="00244531" w:rsidP="00474DFA">
      <w:pPr>
        <w:rPr>
          <w:color w:val="000000"/>
          <w:szCs w:val="20"/>
          <w:u w:val="single"/>
        </w:rPr>
      </w:pPr>
      <w:r w:rsidRPr="00474DFA">
        <w:rPr>
          <w:color w:val="000000"/>
          <w:szCs w:val="20"/>
          <w:u w:val="single"/>
        </w:rPr>
        <w:t>Spełnienie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tego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warunku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będzie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elementem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kontroli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po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zakończeniu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realizacji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projektu</w:t>
      </w:r>
      <w:r w:rsidR="00964AEB" w:rsidRPr="00474DFA">
        <w:rPr>
          <w:color w:val="000000"/>
          <w:szCs w:val="20"/>
          <w:u w:val="single"/>
        </w:rPr>
        <w:t xml:space="preserve"> </w:t>
      </w:r>
      <w:r w:rsidR="00031CE8" w:rsidRPr="00474DFA">
        <w:rPr>
          <w:color w:val="000000"/>
          <w:szCs w:val="20"/>
          <w:u w:val="single"/>
        </w:rPr>
        <w:t>w</w:t>
      </w:r>
      <w:r w:rsidR="00A814D4" w:rsidRPr="00474DFA">
        <w:rPr>
          <w:color w:val="000000"/>
          <w:szCs w:val="20"/>
          <w:u w:val="single"/>
        </w:rPr>
        <w:t> </w:t>
      </w:r>
      <w:r w:rsidR="00031CE8" w:rsidRPr="00474DFA">
        <w:rPr>
          <w:color w:val="000000"/>
          <w:szCs w:val="20"/>
          <w:u w:val="single"/>
        </w:rPr>
        <w:t>ramach tzw. kontroli trwałości</w:t>
      </w:r>
      <w:r w:rsidRPr="00474DFA">
        <w:rPr>
          <w:color w:val="000000"/>
          <w:szCs w:val="20"/>
          <w:u w:val="single"/>
        </w:rPr>
        <w:t>.</w:t>
      </w:r>
    </w:p>
    <w:p w14:paraId="6059A244" w14:textId="77777777" w:rsidR="00244531" w:rsidRPr="006442F7" w:rsidRDefault="00244531" w:rsidP="00CF081B">
      <w:pPr>
        <w:pStyle w:val="Akapitzlist"/>
        <w:keepNext/>
        <w:rPr>
          <w:b/>
          <w:color w:val="000000"/>
          <w:szCs w:val="20"/>
        </w:rPr>
      </w:pPr>
      <w:r w:rsidRPr="006442F7">
        <w:rPr>
          <w:b/>
          <w:color w:val="000000"/>
          <w:szCs w:val="20"/>
        </w:rPr>
        <w:t>Czy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projekt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jest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zgodny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właściwą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mapą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potrzeb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zdrowotnych?</w:t>
      </w:r>
      <w:r w:rsidR="00656606" w:rsidRPr="006442F7">
        <w:rPr>
          <w:b/>
          <w:color w:val="000000"/>
          <w:szCs w:val="20"/>
        </w:rPr>
        <w:t xml:space="preserve"> </w:t>
      </w:r>
    </w:p>
    <w:p w14:paraId="1FF297F5" w14:textId="71BF447C" w:rsidR="00235267" w:rsidRPr="00235267" w:rsidRDefault="00235267" w:rsidP="006746FB">
      <w:pPr>
        <w:jc w:val="both"/>
        <w:rPr>
          <w:color w:val="000000"/>
          <w:szCs w:val="20"/>
        </w:rPr>
      </w:pPr>
      <w:r w:rsidRPr="006746FB">
        <w:rPr>
          <w:color w:val="000000"/>
          <w:szCs w:val="20"/>
        </w:rPr>
        <w:t xml:space="preserve">Należy przedstawić zgodność planowanych w ramach projektu </w:t>
      </w:r>
      <w:r w:rsidR="006746FB" w:rsidRPr="006746FB">
        <w:rPr>
          <w:color w:val="000000"/>
          <w:szCs w:val="20"/>
        </w:rPr>
        <w:t xml:space="preserve">działań </w:t>
      </w:r>
      <w:r w:rsidRPr="006746FB">
        <w:rPr>
          <w:color w:val="000000"/>
          <w:szCs w:val="20"/>
        </w:rPr>
        <w:t xml:space="preserve">z </w:t>
      </w:r>
      <w:r w:rsidR="00B957D7" w:rsidRPr="00474DFA">
        <w:rPr>
          <w:szCs w:val="20"/>
        </w:rPr>
        <w:t xml:space="preserve">aktualną </w:t>
      </w:r>
      <w:r w:rsidRPr="006746FB">
        <w:rPr>
          <w:color w:val="000000"/>
          <w:szCs w:val="20"/>
        </w:rPr>
        <w:t>Mapą potrzeb zdrowotnych w zakresie chorób układu kostno</w:t>
      </w:r>
      <w:r w:rsidR="00355F3A" w:rsidRPr="006746FB">
        <w:rPr>
          <w:color w:val="000000"/>
          <w:szCs w:val="20"/>
        </w:rPr>
        <w:t>-</w:t>
      </w:r>
      <w:r w:rsidRPr="006746FB">
        <w:rPr>
          <w:color w:val="000000"/>
          <w:szCs w:val="20"/>
        </w:rPr>
        <w:t xml:space="preserve">mięśniowego dla województwa świętokrzyskiego. </w:t>
      </w:r>
      <w:r w:rsidRPr="00235267">
        <w:rPr>
          <w:color w:val="000000"/>
          <w:szCs w:val="20"/>
        </w:rPr>
        <w:t xml:space="preserve">W uzasadnionych sytuacjach </w:t>
      </w:r>
      <w:r w:rsidRPr="006746FB">
        <w:rPr>
          <w:color w:val="000000"/>
          <w:szCs w:val="20"/>
        </w:rPr>
        <w:t xml:space="preserve">należy podać </w:t>
      </w:r>
      <w:r w:rsidRPr="00235267">
        <w:rPr>
          <w:color w:val="000000"/>
          <w:szCs w:val="20"/>
        </w:rPr>
        <w:t>dane źródłowe o</w:t>
      </w:r>
      <w:r w:rsidR="006746FB">
        <w:rPr>
          <w:color w:val="000000"/>
          <w:szCs w:val="20"/>
        </w:rPr>
        <w:t>dnośnie</w:t>
      </w:r>
      <w:r w:rsidRPr="00235267">
        <w:rPr>
          <w:color w:val="000000"/>
          <w:szCs w:val="20"/>
        </w:rPr>
        <w:t xml:space="preserve"> właściwych map, które będą dostępne na internetowej platformie danych Baza Analiz Systemowych i Wdrożeniowych udostępnionej przez Ministerstwo Zdrowia, </w:t>
      </w:r>
      <w:r w:rsidRPr="006746FB">
        <w:rPr>
          <w:color w:val="000000"/>
          <w:szCs w:val="20"/>
        </w:rPr>
        <w:t>wraz z</w:t>
      </w:r>
      <w:r w:rsidR="006746FB" w:rsidRPr="006746FB">
        <w:rPr>
          <w:color w:val="000000"/>
          <w:szCs w:val="20"/>
        </w:rPr>
        <w:t> </w:t>
      </w:r>
      <w:r w:rsidRPr="006746FB">
        <w:rPr>
          <w:color w:val="000000"/>
          <w:szCs w:val="20"/>
        </w:rPr>
        <w:t>podaniem źródła przytaczanych danych</w:t>
      </w:r>
      <w:r w:rsidRPr="00235267">
        <w:rPr>
          <w:color w:val="000000"/>
          <w:szCs w:val="20"/>
        </w:rPr>
        <w:t>.</w:t>
      </w:r>
    </w:p>
    <w:p w14:paraId="13464883" w14:textId="77777777" w:rsidR="00835F37" w:rsidRPr="006442F7" w:rsidRDefault="00835F37" w:rsidP="00CF081B">
      <w:pPr>
        <w:pStyle w:val="Akapitzlist"/>
        <w:rPr>
          <w:b/>
          <w:color w:val="000000"/>
          <w:szCs w:val="20"/>
        </w:rPr>
      </w:pPr>
      <w:r w:rsidRPr="006442F7">
        <w:rPr>
          <w:b/>
          <w:color w:val="000000"/>
          <w:szCs w:val="20"/>
        </w:rPr>
        <w:t>Czy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projekt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posiada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pozytywną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opinię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Wojewody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Świętokrzyskiego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o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celowości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inwestycji?</w:t>
      </w:r>
    </w:p>
    <w:p w14:paraId="0A587307" w14:textId="3FFA87B5" w:rsidR="00240E8E" w:rsidRPr="00121682" w:rsidRDefault="00121682" w:rsidP="00CF081B">
      <w:pPr>
        <w:jc w:val="both"/>
        <w:rPr>
          <w:strike/>
          <w:color w:val="000000"/>
          <w:szCs w:val="20"/>
        </w:rPr>
      </w:pPr>
      <w:r w:rsidRPr="00474DFA">
        <w:rPr>
          <w:szCs w:val="20"/>
        </w:rPr>
        <w:lastRenderedPageBreak/>
        <w:t>Należy załączyć opinię o celowości inwestycji wydaną zgodnie art. 95d ustawy o świadczeniach opieki zdrowotnej finansowanych ze środków publicznych.</w:t>
      </w:r>
      <w:r w:rsidRPr="00121682">
        <w:rPr>
          <w:color w:val="FF0000"/>
          <w:szCs w:val="20"/>
        </w:rPr>
        <w:t xml:space="preserve"> </w:t>
      </w:r>
    </w:p>
    <w:p w14:paraId="7E41982C" w14:textId="0934F5D6" w:rsidR="005876A9" w:rsidRPr="006442F7" w:rsidRDefault="005876A9" w:rsidP="00CF081B">
      <w:pPr>
        <w:jc w:val="both"/>
        <w:rPr>
          <w:color w:val="000000"/>
          <w:szCs w:val="20"/>
        </w:rPr>
      </w:pPr>
      <w:r w:rsidRPr="006442F7">
        <w:rPr>
          <w:color w:val="000000"/>
          <w:szCs w:val="20"/>
        </w:rPr>
        <w:t>W przypadku, gdy na etapie składania dokumentacji aplikacyjnej Wnioskodawca nie dysponuje Opinią o celowości inwestycji</w:t>
      </w:r>
      <w:r w:rsidR="00121682">
        <w:rPr>
          <w:color w:val="000000"/>
          <w:szCs w:val="20"/>
        </w:rPr>
        <w:t xml:space="preserve"> </w:t>
      </w:r>
      <w:r w:rsidR="00121682" w:rsidRPr="00474DFA">
        <w:rPr>
          <w:szCs w:val="20"/>
        </w:rPr>
        <w:t>należy złożyć</w:t>
      </w:r>
      <w:r w:rsidRPr="00474DFA">
        <w:rPr>
          <w:szCs w:val="20"/>
        </w:rPr>
        <w:t xml:space="preserve"> </w:t>
      </w:r>
      <w:r w:rsidRPr="006442F7">
        <w:rPr>
          <w:color w:val="000000"/>
          <w:szCs w:val="20"/>
        </w:rPr>
        <w:t xml:space="preserve">potwierdzone wystąpienie do Wojewody Świętokrzyskiego w sprawie wydania OCI. </w:t>
      </w:r>
      <w:r w:rsidR="00121682" w:rsidRPr="00474DFA">
        <w:rPr>
          <w:szCs w:val="20"/>
        </w:rPr>
        <w:t>Natomiast p</w:t>
      </w:r>
      <w:r w:rsidRPr="00474DFA">
        <w:rPr>
          <w:szCs w:val="20"/>
        </w:rPr>
        <w:t xml:space="preserve">ozytywna </w:t>
      </w:r>
      <w:r w:rsidRPr="006442F7">
        <w:rPr>
          <w:color w:val="000000"/>
          <w:szCs w:val="20"/>
        </w:rPr>
        <w:t xml:space="preserve">OCI powinna zostać złożona niezwłocznie po jej otrzymaniu lub najpóźniej na wezwanie Instytucji Zarządzającej, które będzie określać termin jej doręczenia umożliwiający zakończenie oceny projektu. </w:t>
      </w:r>
    </w:p>
    <w:p w14:paraId="3577DEE0" w14:textId="77777777" w:rsidR="009E1467" w:rsidRPr="006442F7" w:rsidRDefault="009E1467" w:rsidP="00CF081B">
      <w:pPr>
        <w:pStyle w:val="Akapitzlist"/>
        <w:rPr>
          <w:b/>
          <w:color w:val="000000"/>
          <w:szCs w:val="20"/>
        </w:rPr>
      </w:pPr>
      <w:r w:rsidRPr="006442F7">
        <w:rPr>
          <w:b/>
          <w:color w:val="000000"/>
          <w:szCs w:val="20"/>
        </w:rPr>
        <w:t>Czy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projekt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jest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uzasadniony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punktu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widzenia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rzeczywistego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zapotrzebowania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na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świadczenia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zdrowotne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objęte</w:t>
      </w:r>
      <w:r w:rsidR="00656606" w:rsidRPr="006442F7">
        <w:rPr>
          <w:b/>
          <w:color w:val="000000"/>
          <w:szCs w:val="20"/>
        </w:rPr>
        <w:t xml:space="preserve"> </w:t>
      </w:r>
      <w:r w:rsidRPr="006442F7">
        <w:rPr>
          <w:b/>
          <w:color w:val="000000"/>
          <w:szCs w:val="20"/>
        </w:rPr>
        <w:t>projektem?</w:t>
      </w:r>
    </w:p>
    <w:p w14:paraId="78F6B945" w14:textId="351BCE57" w:rsidR="000A53AF" w:rsidRPr="00474DFA" w:rsidRDefault="000A53AF" w:rsidP="00CF081B">
      <w:pPr>
        <w:jc w:val="both"/>
        <w:rPr>
          <w:szCs w:val="20"/>
        </w:rPr>
      </w:pPr>
      <w:r w:rsidRPr="00474DFA">
        <w:rPr>
          <w:szCs w:val="20"/>
        </w:rPr>
        <w:t xml:space="preserve">Należy wykazać </w:t>
      </w:r>
      <w:r w:rsidR="00182A4B" w:rsidRPr="00474DFA">
        <w:rPr>
          <w:szCs w:val="20"/>
        </w:rPr>
        <w:t>w jakim stopniu działania</w:t>
      </w:r>
      <w:r w:rsidRPr="00474DFA">
        <w:rPr>
          <w:szCs w:val="20"/>
        </w:rPr>
        <w:t>,</w:t>
      </w:r>
      <w:r w:rsidR="00182A4B" w:rsidRPr="00474DFA">
        <w:rPr>
          <w:szCs w:val="20"/>
        </w:rPr>
        <w:t xml:space="preserve"> </w:t>
      </w:r>
      <w:r w:rsidRPr="00474DFA">
        <w:rPr>
          <w:szCs w:val="20"/>
        </w:rPr>
        <w:t xml:space="preserve">planowane do realizacji w ramach projektu, </w:t>
      </w:r>
      <w:r w:rsidR="00474DFA">
        <w:rPr>
          <w:szCs w:val="20"/>
        </w:rPr>
        <w:br/>
      </w:r>
      <w:r w:rsidR="00182A4B" w:rsidRPr="00474DFA">
        <w:rPr>
          <w:szCs w:val="20"/>
        </w:rPr>
        <w:t>z zakresu stacjonarnej, dziennej, ambulatoryjnej i domowej rehabilitacji ogólnoustrojowej dedykowanej chorobom układu kostno-mięśniowego są uzasadnione z punktu widzenia rzeczywistego zapotrzebowania na dan</w:t>
      </w:r>
      <w:r w:rsidRPr="00474DFA">
        <w:rPr>
          <w:szCs w:val="20"/>
        </w:rPr>
        <w:t xml:space="preserve">e </w:t>
      </w:r>
      <w:r w:rsidR="00182A4B" w:rsidRPr="00474DFA">
        <w:rPr>
          <w:szCs w:val="20"/>
        </w:rPr>
        <w:t>świadczenie zdrowotne</w:t>
      </w:r>
      <w:r w:rsidRPr="00474DFA">
        <w:rPr>
          <w:szCs w:val="20"/>
        </w:rPr>
        <w:t>, w tym:</w:t>
      </w:r>
    </w:p>
    <w:p w14:paraId="77566500" w14:textId="77777777" w:rsidR="000471FE" w:rsidRPr="000471FE" w:rsidRDefault="000471FE" w:rsidP="002B64EC">
      <w:pPr>
        <w:pStyle w:val="Akapitzlist"/>
        <w:numPr>
          <w:ilvl w:val="0"/>
          <w:numId w:val="48"/>
        </w:numPr>
        <w:spacing w:line="240" w:lineRule="auto"/>
        <w:rPr>
          <w:b/>
          <w:color w:val="000000"/>
          <w:szCs w:val="20"/>
        </w:rPr>
      </w:pPr>
      <w:r w:rsidRPr="000471FE">
        <w:rPr>
          <w:color w:val="000000"/>
          <w:szCs w:val="20"/>
        </w:rPr>
        <w:t>adekwatne do zakresu udzielanych przez podmiot leczniczy świadczeń opieki zdrowotnej lub w przypadku poszerzania oferty medycznej, odpowiadać na zidentyfikowane potrzeby wynikające z sytuacji epidemiologiczno-demograficznej oraz deficytu na danym obszarze podaży szpitalnych świadczeń opieki zdrowotnej z</w:t>
      </w:r>
      <w:r>
        <w:rPr>
          <w:color w:val="000000"/>
          <w:szCs w:val="20"/>
        </w:rPr>
        <w:t> </w:t>
      </w:r>
      <w:r w:rsidRPr="000471FE">
        <w:rPr>
          <w:color w:val="000000"/>
          <w:szCs w:val="20"/>
        </w:rPr>
        <w:t>zakresu rehabilitacji ogólnoustrojowej dedykowanej chorobom układu kostno-mięśniowego,</w:t>
      </w:r>
    </w:p>
    <w:p w14:paraId="486D9E2C" w14:textId="77777777" w:rsidR="000471FE" w:rsidRPr="000471FE" w:rsidRDefault="000471FE" w:rsidP="002B64EC">
      <w:pPr>
        <w:pStyle w:val="Akapitzlist"/>
        <w:numPr>
          <w:ilvl w:val="0"/>
          <w:numId w:val="48"/>
        </w:numPr>
        <w:spacing w:line="240" w:lineRule="auto"/>
        <w:rPr>
          <w:b/>
          <w:color w:val="000000"/>
          <w:szCs w:val="20"/>
        </w:rPr>
      </w:pPr>
      <w:r w:rsidRPr="000471FE">
        <w:rPr>
          <w:color w:val="000000"/>
          <w:szCs w:val="20"/>
        </w:rPr>
        <w:t>zgodne z warunkami realizacji świadczeń zdrowotnych określonych Rozporządzeni</w:t>
      </w:r>
      <w:r w:rsidR="00550DB8">
        <w:rPr>
          <w:color w:val="000000"/>
          <w:szCs w:val="20"/>
        </w:rPr>
        <w:t>em</w:t>
      </w:r>
      <w:r w:rsidRPr="000471FE">
        <w:rPr>
          <w:color w:val="000000"/>
          <w:szCs w:val="20"/>
        </w:rPr>
        <w:t xml:space="preserve"> Ministra Zdrowia z dnia 6 listopada 2013</w:t>
      </w:r>
      <w:r>
        <w:rPr>
          <w:color w:val="000000"/>
          <w:szCs w:val="20"/>
        </w:rPr>
        <w:t xml:space="preserve"> </w:t>
      </w:r>
      <w:r w:rsidRPr="000471FE">
        <w:rPr>
          <w:color w:val="000000"/>
          <w:szCs w:val="20"/>
        </w:rPr>
        <w:t>r. w sprawie świadczeń gwarantowanych z</w:t>
      </w:r>
      <w:r w:rsidR="00550DB8">
        <w:rPr>
          <w:color w:val="000000"/>
          <w:szCs w:val="20"/>
        </w:rPr>
        <w:t> </w:t>
      </w:r>
      <w:r w:rsidRPr="000471FE">
        <w:rPr>
          <w:color w:val="000000"/>
          <w:szCs w:val="20"/>
        </w:rPr>
        <w:t>zakresu rehabilitacji leczniczej.</w:t>
      </w:r>
    </w:p>
    <w:p w14:paraId="3059CA7D" w14:textId="77777777" w:rsidR="008928D8" w:rsidRPr="00120832" w:rsidRDefault="008928D8" w:rsidP="000471FE">
      <w:pPr>
        <w:pStyle w:val="Akapitzlist"/>
        <w:rPr>
          <w:b/>
          <w:color w:val="000000"/>
          <w:szCs w:val="20"/>
        </w:rPr>
      </w:pPr>
      <w:r w:rsidRPr="00120832">
        <w:rPr>
          <w:b/>
          <w:color w:val="000000"/>
          <w:szCs w:val="20"/>
        </w:rPr>
        <w:t>Czy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wnioskodawca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dysponuje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kadrą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medyczną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niezbędną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do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obsługi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wyrobów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medycznych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objętych</w:t>
      </w:r>
      <w:r w:rsidR="00656606" w:rsidRPr="00120832">
        <w:rPr>
          <w:b/>
          <w:color w:val="000000"/>
          <w:szCs w:val="20"/>
        </w:rPr>
        <w:t xml:space="preserve"> </w:t>
      </w:r>
      <w:r w:rsidRPr="00120832">
        <w:rPr>
          <w:b/>
          <w:color w:val="000000"/>
          <w:szCs w:val="20"/>
        </w:rPr>
        <w:t>projektem</w:t>
      </w:r>
      <w:r w:rsidR="00E571F0" w:rsidRPr="00120832">
        <w:rPr>
          <w:b/>
          <w:color w:val="000000"/>
          <w:szCs w:val="20"/>
        </w:rPr>
        <w:t xml:space="preserve"> (jeśli dotyczy)</w:t>
      </w:r>
      <w:r w:rsidRPr="00120832">
        <w:rPr>
          <w:b/>
          <w:color w:val="000000"/>
          <w:szCs w:val="20"/>
        </w:rPr>
        <w:t>?</w:t>
      </w:r>
    </w:p>
    <w:p w14:paraId="192D2802" w14:textId="06C7B4BA" w:rsidR="006C3886" w:rsidRPr="00E571F0" w:rsidRDefault="00D662C1" w:rsidP="00120832">
      <w:pPr>
        <w:jc w:val="both"/>
        <w:rPr>
          <w:color w:val="000000"/>
          <w:szCs w:val="20"/>
        </w:rPr>
      </w:pPr>
      <w:r w:rsidRPr="00474DFA">
        <w:rPr>
          <w:szCs w:val="20"/>
        </w:rPr>
        <w:t xml:space="preserve">W przypadku </w:t>
      </w:r>
      <w:r w:rsidR="00A86AA6" w:rsidRPr="00474DFA">
        <w:rPr>
          <w:szCs w:val="20"/>
        </w:rPr>
        <w:t>projektów, które swoim zakrese</w:t>
      </w:r>
      <w:r w:rsidRPr="00474DFA">
        <w:rPr>
          <w:szCs w:val="20"/>
        </w:rPr>
        <w:t>m</w:t>
      </w:r>
      <w:r w:rsidR="00A86AA6" w:rsidRPr="00474DFA">
        <w:rPr>
          <w:szCs w:val="20"/>
        </w:rPr>
        <w:t xml:space="preserve"> </w:t>
      </w:r>
      <w:r w:rsidR="00A86AA6" w:rsidRPr="00E571F0">
        <w:rPr>
          <w:color w:val="000000"/>
          <w:szCs w:val="20"/>
        </w:rPr>
        <w:t xml:space="preserve">rzeczowym obejmują zakup wyrobów medycznych: </w:t>
      </w:r>
    </w:p>
    <w:p w14:paraId="4F908726" w14:textId="7018F32F" w:rsidR="006C3886" w:rsidRPr="00D662C1" w:rsidRDefault="002B1EC4" w:rsidP="00446FD9">
      <w:pPr>
        <w:pStyle w:val="Akapitzlist"/>
        <w:numPr>
          <w:ilvl w:val="0"/>
          <w:numId w:val="30"/>
        </w:numPr>
        <w:ind w:left="426"/>
        <w:rPr>
          <w:szCs w:val="20"/>
        </w:rPr>
      </w:pPr>
      <w:r w:rsidRPr="002B1EC4">
        <w:rPr>
          <w:szCs w:val="20"/>
        </w:rPr>
        <w:t>niezbędnych do udzielania świadczeń zdrowotnych z zakresu rehabilitacji ogólnoustrojowej dedykowanej chorobom układu kostno</w:t>
      </w:r>
      <w:r w:rsidR="00F3429E">
        <w:rPr>
          <w:szCs w:val="20"/>
        </w:rPr>
        <w:t>-</w:t>
      </w:r>
      <w:r w:rsidRPr="002B1EC4">
        <w:rPr>
          <w:szCs w:val="20"/>
        </w:rPr>
        <w:t>mięśniowego, które są LUB będą realizowane w warunkach stacjonarnych, dziennych, ambulatoryjnych i</w:t>
      </w:r>
      <w:r w:rsidR="00F3429E">
        <w:rPr>
          <w:szCs w:val="20"/>
        </w:rPr>
        <w:t> </w:t>
      </w:r>
      <w:r w:rsidRPr="002B1EC4">
        <w:rPr>
          <w:szCs w:val="20"/>
        </w:rPr>
        <w:t>domowych</w:t>
      </w:r>
      <w:r w:rsidR="00D662C1">
        <w:rPr>
          <w:szCs w:val="20"/>
        </w:rPr>
        <w:t xml:space="preserve"> oraz</w:t>
      </w:r>
    </w:p>
    <w:p w14:paraId="769D9C09" w14:textId="661CE12E" w:rsidR="00175133" w:rsidRDefault="00F3429E" w:rsidP="00265A33">
      <w:pPr>
        <w:pStyle w:val="Akapitzlist"/>
        <w:numPr>
          <w:ilvl w:val="0"/>
          <w:numId w:val="30"/>
        </w:numPr>
        <w:ind w:left="426"/>
        <w:rPr>
          <w:szCs w:val="20"/>
        </w:rPr>
      </w:pPr>
      <w:r w:rsidRPr="00F3429E">
        <w:rPr>
          <w:szCs w:val="20"/>
        </w:rPr>
        <w:lastRenderedPageBreak/>
        <w:t>stanowiących wyposażenie pracowni diagnostycznych działających w strukturze organizacyjnej Wnioskodawcy oraz współpracujących przy udzielaniu świadczeń opieki zdrowotnej z zakresu objętego wsparciem</w:t>
      </w:r>
    </w:p>
    <w:p w14:paraId="7CF78849" w14:textId="6563AE95" w:rsidR="00D662C1" w:rsidRPr="00474DFA" w:rsidRDefault="00D662C1" w:rsidP="00D662C1">
      <w:pPr>
        <w:ind w:left="66"/>
        <w:jc w:val="both"/>
        <w:rPr>
          <w:bCs/>
          <w:szCs w:val="20"/>
        </w:rPr>
      </w:pPr>
      <w:r w:rsidRPr="00474DFA">
        <w:rPr>
          <w:szCs w:val="20"/>
        </w:rPr>
        <w:t xml:space="preserve">należy przedstawić liczbę i kwalifikacje personelu medycznego, zatrudnionego aktualnie lub </w:t>
      </w:r>
      <w:r w:rsidRPr="00474DFA">
        <w:rPr>
          <w:bCs/>
          <w:szCs w:val="20"/>
        </w:rPr>
        <w:t>najpóźniej w dniu zakończenia okresu kwalifikowalności wydatków wskazanego w umowie o dofinansowanie projektu, niezbędnego do obsługi wyrobów medycznych stanowiących przedmiot projektu.</w:t>
      </w:r>
    </w:p>
    <w:p w14:paraId="1778004E" w14:textId="77777777" w:rsidR="00CE37E2" w:rsidRPr="00474DFA" w:rsidRDefault="008928D8" w:rsidP="00CF081B">
      <w:pPr>
        <w:jc w:val="both"/>
        <w:rPr>
          <w:color w:val="000000"/>
          <w:szCs w:val="20"/>
          <w:highlight w:val="yellow"/>
          <w:u w:val="single"/>
        </w:rPr>
      </w:pPr>
      <w:r w:rsidRPr="00474DFA">
        <w:rPr>
          <w:color w:val="000000"/>
          <w:szCs w:val="20"/>
          <w:u w:val="single"/>
        </w:rPr>
        <w:t>Spełnienie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warunku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będzie</w:t>
      </w:r>
      <w:r w:rsidR="00656606" w:rsidRPr="00474DFA">
        <w:rPr>
          <w:color w:val="000000"/>
          <w:szCs w:val="20"/>
          <w:u w:val="single"/>
        </w:rPr>
        <w:t xml:space="preserve"> </w:t>
      </w:r>
      <w:r w:rsidR="00CE37E2" w:rsidRPr="00474DFA">
        <w:rPr>
          <w:color w:val="000000"/>
          <w:szCs w:val="20"/>
          <w:u w:val="single"/>
        </w:rPr>
        <w:t>takż</w:t>
      </w:r>
      <w:r w:rsidRPr="00474DFA">
        <w:rPr>
          <w:color w:val="000000"/>
          <w:szCs w:val="20"/>
          <w:u w:val="single"/>
        </w:rPr>
        <w:t>e</w:t>
      </w:r>
      <w:r w:rsidR="00656606" w:rsidRPr="00474DFA">
        <w:rPr>
          <w:color w:val="000000"/>
          <w:szCs w:val="20"/>
          <w:u w:val="single"/>
        </w:rPr>
        <w:t xml:space="preserve"> </w:t>
      </w:r>
      <w:r w:rsidR="00CE37E2" w:rsidRPr="00474DFA">
        <w:rPr>
          <w:color w:val="000000"/>
          <w:szCs w:val="20"/>
          <w:u w:val="single"/>
        </w:rPr>
        <w:t>prz</w:t>
      </w:r>
      <w:r w:rsidRPr="00474DFA">
        <w:rPr>
          <w:color w:val="000000"/>
          <w:szCs w:val="20"/>
          <w:u w:val="single"/>
        </w:rPr>
        <w:t>e</w:t>
      </w:r>
      <w:r w:rsidR="00CE37E2" w:rsidRPr="00474DFA">
        <w:rPr>
          <w:color w:val="000000"/>
          <w:szCs w:val="20"/>
          <w:u w:val="single"/>
        </w:rPr>
        <w:t>d</w:t>
      </w:r>
      <w:r w:rsidRPr="00474DFA">
        <w:rPr>
          <w:color w:val="000000"/>
          <w:szCs w:val="20"/>
          <w:u w:val="single"/>
        </w:rPr>
        <w:t>m</w:t>
      </w:r>
      <w:r w:rsidR="00CE37E2" w:rsidRPr="00474DFA">
        <w:rPr>
          <w:color w:val="000000"/>
          <w:szCs w:val="20"/>
          <w:u w:val="single"/>
        </w:rPr>
        <w:t>io</w:t>
      </w:r>
      <w:r w:rsidRPr="00474DFA">
        <w:rPr>
          <w:color w:val="000000"/>
          <w:szCs w:val="20"/>
          <w:u w:val="single"/>
        </w:rPr>
        <w:t>tem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kontroli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po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zakończeniu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realizacji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projektu</w:t>
      </w:r>
      <w:r w:rsidR="00CE37E2" w:rsidRPr="00474DFA">
        <w:rPr>
          <w:color w:val="000000"/>
          <w:szCs w:val="20"/>
          <w:u w:val="single"/>
        </w:rPr>
        <w:t>.</w:t>
      </w:r>
    </w:p>
    <w:p w14:paraId="71B06DB3" w14:textId="77777777" w:rsidR="00E344C6" w:rsidRPr="00E571F0" w:rsidRDefault="00E344C6" w:rsidP="00CF081B">
      <w:pPr>
        <w:pStyle w:val="Akapitzlist"/>
        <w:rPr>
          <w:b/>
          <w:color w:val="000000"/>
          <w:szCs w:val="20"/>
        </w:rPr>
      </w:pPr>
      <w:r w:rsidRPr="00E571F0">
        <w:rPr>
          <w:b/>
          <w:color w:val="000000"/>
          <w:szCs w:val="20"/>
        </w:rPr>
        <w:t>Czy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wnioskodawca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dysponuje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infrastrukturą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techn</w:t>
      </w:r>
      <w:r w:rsidR="00883825" w:rsidRPr="00E571F0">
        <w:rPr>
          <w:b/>
          <w:color w:val="000000"/>
          <w:szCs w:val="20"/>
        </w:rPr>
        <w:t>iczną</w:t>
      </w:r>
      <w:r w:rsidR="00656606" w:rsidRPr="00E571F0">
        <w:rPr>
          <w:b/>
          <w:color w:val="000000"/>
          <w:szCs w:val="20"/>
        </w:rPr>
        <w:t xml:space="preserve"> </w:t>
      </w:r>
      <w:r w:rsidR="00883825" w:rsidRPr="00E571F0">
        <w:rPr>
          <w:b/>
          <w:color w:val="000000"/>
          <w:szCs w:val="20"/>
        </w:rPr>
        <w:t>niezbędną</w:t>
      </w:r>
      <w:r w:rsidR="00656606" w:rsidRPr="00E571F0">
        <w:rPr>
          <w:b/>
          <w:color w:val="000000"/>
          <w:szCs w:val="20"/>
        </w:rPr>
        <w:t xml:space="preserve"> </w:t>
      </w:r>
      <w:r w:rsidR="00883825" w:rsidRPr="00E571F0">
        <w:rPr>
          <w:b/>
          <w:color w:val="000000"/>
          <w:szCs w:val="20"/>
        </w:rPr>
        <w:t>do</w:t>
      </w:r>
      <w:r w:rsidR="00656606" w:rsidRPr="00E571F0">
        <w:rPr>
          <w:b/>
          <w:color w:val="000000"/>
          <w:szCs w:val="20"/>
        </w:rPr>
        <w:t xml:space="preserve"> </w:t>
      </w:r>
      <w:r w:rsidR="00883825" w:rsidRPr="00E571F0">
        <w:rPr>
          <w:b/>
          <w:color w:val="000000"/>
          <w:szCs w:val="20"/>
        </w:rPr>
        <w:t>instalacji</w:t>
      </w:r>
      <w:r w:rsidR="00656606" w:rsidRPr="00E571F0">
        <w:rPr>
          <w:b/>
          <w:color w:val="000000"/>
          <w:szCs w:val="20"/>
        </w:rPr>
        <w:t xml:space="preserve"> </w:t>
      </w:r>
      <w:r w:rsidR="00883825" w:rsidRPr="00E571F0">
        <w:rPr>
          <w:b/>
          <w:color w:val="000000"/>
          <w:szCs w:val="20"/>
        </w:rPr>
        <w:t>i</w:t>
      </w:r>
      <w:r w:rsidR="00670B84" w:rsidRPr="00E571F0">
        <w:rPr>
          <w:b/>
          <w:color w:val="000000"/>
          <w:szCs w:val="20"/>
        </w:rPr>
        <w:t> </w:t>
      </w:r>
      <w:r w:rsidRPr="00E571F0">
        <w:rPr>
          <w:b/>
          <w:color w:val="000000"/>
          <w:szCs w:val="20"/>
        </w:rPr>
        <w:t>użytkowania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wyrobów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medycznych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objętych</w:t>
      </w:r>
      <w:r w:rsidR="00656606" w:rsidRPr="00E571F0">
        <w:rPr>
          <w:b/>
          <w:color w:val="000000"/>
          <w:szCs w:val="20"/>
        </w:rPr>
        <w:t xml:space="preserve"> </w:t>
      </w:r>
      <w:r w:rsidRPr="00E571F0">
        <w:rPr>
          <w:b/>
          <w:color w:val="000000"/>
          <w:szCs w:val="20"/>
        </w:rPr>
        <w:t>projektem?</w:t>
      </w:r>
      <w:r w:rsidR="00446FD9">
        <w:rPr>
          <w:b/>
          <w:color w:val="000000"/>
          <w:szCs w:val="20"/>
        </w:rPr>
        <w:t xml:space="preserve"> </w:t>
      </w:r>
      <w:r w:rsidR="00120832">
        <w:rPr>
          <w:b/>
          <w:color w:val="000000"/>
          <w:szCs w:val="20"/>
        </w:rPr>
        <w:t>(jeśli dotyczy)</w:t>
      </w:r>
    </w:p>
    <w:p w14:paraId="186D632B" w14:textId="5C635FE6" w:rsidR="00670B84" w:rsidRPr="00474DFA" w:rsidRDefault="00A30B18" w:rsidP="00CF081B">
      <w:pPr>
        <w:jc w:val="both"/>
        <w:rPr>
          <w:szCs w:val="20"/>
        </w:rPr>
      </w:pPr>
      <w:r w:rsidRPr="00474DFA">
        <w:rPr>
          <w:szCs w:val="20"/>
        </w:rPr>
        <w:t xml:space="preserve">W przypadku </w:t>
      </w:r>
      <w:r w:rsidR="00FB5DF5" w:rsidRPr="00474DFA">
        <w:rPr>
          <w:szCs w:val="20"/>
        </w:rPr>
        <w:t>projektów, które swoim zakres</w:t>
      </w:r>
      <w:r w:rsidRPr="00474DFA">
        <w:rPr>
          <w:szCs w:val="20"/>
        </w:rPr>
        <w:t xml:space="preserve">em </w:t>
      </w:r>
      <w:r w:rsidR="00FB5DF5" w:rsidRPr="00474DFA">
        <w:rPr>
          <w:szCs w:val="20"/>
        </w:rPr>
        <w:t xml:space="preserve">rzeczowym obejmują zakup wyrobów medycznych: </w:t>
      </w:r>
    </w:p>
    <w:p w14:paraId="1468C92C" w14:textId="035127C5" w:rsidR="00F3429E" w:rsidRPr="00A30B18" w:rsidRDefault="00F3429E" w:rsidP="00E20A49">
      <w:pPr>
        <w:pStyle w:val="Akapitzlist"/>
        <w:numPr>
          <w:ilvl w:val="0"/>
          <w:numId w:val="43"/>
        </w:numPr>
        <w:ind w:left="426"/>
        <w:rPr>
          <w:color w:val="000000"/>
          <w:szCs w:val="20"/>
        </w:rPr>
      </w:pPr>
      <w:r w:rsidRPr="00A30B18">
        <w:rPr>
          <w:color w:val="000000"/>
          <w:szCs w:val="20"/>
        </w:rPr>
        <w:t xml:space="preserve">niezbędnych do udzielania świadczeń zdrowotnej z zakresu rehabilitacji ogólnoustrojowej dedykowanej chorobom układu kostno-mięśniowego, które są LUB będą realizowane w warunkach stacjonarnych, dziennych, ambulatoryjnych i domowych oraz </w:t>
      </w:r>
    </w:p>
    <w:p w14:paraId="12FA5C01" w14:textId="6B62F390" w:rsidR="00F3429E" w:rsidRDefault="00F3429E" w:rsidP="002B64EC">
      <w:pPr>
        <w:pStyle w:val="Akapitzlist"/>
        <w:numPr>
          <w:ilvl w:val="0"/>
          <w:numId w:val="43"/>
        </w:numPr>
        <w:ind w:left="426"/>
        <w:rPr>
          <w:color w:val="000000"/>
          <w:szCs w:val="20"/>
        </w:rPr>
      </w:pPr>
      <w:r w:rsidRPr="00F3429E">
        <w:rPr>
          <w:color w:val="000000"/>
          <w:szCs w:val="20"/>
        </w:rPr>
        <w:t>stanowiących wyposażenie pracowni diagnostycznych działających w strukturze organizacyjnej Wnioskodawcy oraz współpracujących przy udzielaniu świadczeń opieki zdrowotnej z zakresu objętego wsparciem.</w:t>
      </w:r>
    </w:p>
    <w:p w14:paraId="4E26C290" w14:textId="0CE536E5" w:rsidR="00A30B18" w:rsidRPr="00474DFA" w:rsidRDefault="00A30B18" w:rsidP="001D258B">
      <w:pPr>
        <w:ind w:left="66"/>
        <w:jc w:val="both"/>
        <w:rPr>
          <w:bCs/>
          <w:szCs w:val="20"/>
        </w:rPr>
      </w:pPr>
      <w:r w:rsidRPr="00474DFA">
        <w:rPr>
          <w:szCs w:val="20"/>
        </w:rPr>
        <w:t xml:space="preserve">należy </w:t>
      </w:r>
      <w:r w:rsidR="00D662C1" w:rsidRPr="00474DFA">
        <w:rPr>
          <w:szCs w:val="20"/>
        </w:rPr>
        <w:t>opisać</w:t>
      </w:r>
      <w:r w:rsidRPr="00474DFA">
        <w:rPr>
          <w:szCs w:val="20"/>
        </w:rPr>
        <w:t xml:space="preserve"> </w:t>
      </w:r>
      <w:r w:rsidR="001D258B" w:rsidRPr="00474DFA">
        <w:rPr>
          <w:szCs w:val="20"/>
        </w:rPr>
        <w:t xml:space="preserve">stan </w:t>
      </w:r>
      <w:r w:rsidR="00D662C1" w:rsidRPr="00474DFA">
        <w:rPr>
          <w:szCs w:val="20"/>
        </w:rPr>
        <w:t>infrastruktur</w:t>
      </w:r>
      <w:r w:rsidR="001D258B" w:rsidRPr="00474DFA">
        <w:rPr>
          <w:szCs w:val="20"/>
        </w:rPr>
        <w:t>y</w:t>
      </w:r>
      <w:r w:rsidR="00D662C1" w:rsidRPr="00474DFA">
        <w:rPr>
          <w:szCs w:val="20"/>
        </w:rPr>
        <w:t xml:space="preserve"> </w:t>
      </w:r>
      <w:r w:rsidR="001D258B" w:rsidRPr="00474DFA">
        <w:rPr>
          <w:szCs w:val="20"/>
        </w:rPr>
        <w:t>technicznej</w:t>
      </w:r>
      <w:r w:rsidR="00D662C1" w:rsidRPr="00474DFA">
        <w:rPr>
          <w:szCs w:val="20"/>
        </w:rPr>
        <w:t xml:space="preserve">, </w:t>
      </w:r>
      <w:r w:rsidR="001D258B" w:rsidRPr="00474DFA">
        <w:rPr>
          <w:szCs w:val="20"/>
        </w:rPr>
        <w:t xml:space="preserve">którą Wnioskodawca dysponuje </w:t>
      </w:r>
      <w:r w:rsidR="00D662C1" w:rsidRPr="00474DFA">
        <w:rPr>
          <w:szCs w:val="20"/>
        </w:rPr>
        <w:t xml:space="preserve">aktualnie lub </w:t>
      </w:r>
      <w:r w:rsidR="00D662C1" w:rsidRPr="00474DFA">
        <w:rPr>
          <w:bCs/>
          <w:szCs w:val="20"/>
        </w:rPr>
        <w:t>najpóźniej w dniu zakończenia okresu kwalifikowalności wydatków wskazanego w umowie o dofinansowanie projektu, niezbędne</w:t>
      </w:r>
      <w:r w:rsidR="001D258B" w:rsidRPr="00474DFA">
        <w:rPr>
          <w:bCs/>
          <w:szCs w:val="20"/>
        </w:rPr>
        <w:t>j</w:t>
      </w:r>
      <w:r w:rsidR="00D662C1" w:rsidRPr="00474DFA">
        <w:rPr>
          <w:bCs/>
          <w:szCs w:val="20"/>
        </w:rPr>
        <w:t xml:space="preserve"> do </w:t>
      </w:r>
      <w:r w:rsidR="001D258B" w:rsidRPr="00474DFA">
        <w:rPr>
          <w:bCs/>
          <w:szCs w:val="20"/>
        </w:rPr>
        <w:t>instalacji i użytkowania</w:t>
      </w:r>
      <w:r w:rsidR="00D662C1" w:rsidRPr="00474DFA">
        <w:rPr>
          <w:bCs/>
          <w:szCs w:val="20"/>
        </w:rPr>
        <w:t xml:space="preserve"> wyrobów medycznych stanowiących przedmiot projektu.</w:t>
      </w:r>
    </w:p>
    <w:p w14:paraId="29A83CA0" w14:textId="77777777" w:rsidR="00E344C6" w:rsidRPr="00E571F0" w:rsidRDefault="00E344C6" w:rsidP="00CF081B">
      <w:pPr>
        <w:jc w:val="both"/>
        <w:rPr>
          <w:color w:val="000000"/>
          <w:szCs w:val="20"/>
        </w:rPr>
      </w:pPr>
      <w:r w:rsidRPr="00474DFA">
        <w:rPr>
          <w:color w:val="000000"/>
          <w:szCs w:val="20"/>
          <w:u w:val="single"/>
        </w:rPr>
        <w:t>Spełnienie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tego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warunku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będzie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elementem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kontroli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po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zakończeniu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realizacji</w:t>
      </w:r>
      <w:r w:rsidR="00656606" w:rsidRPr="00474DFA">
        <w:rPr>
          <w:color w:val="000000"/>
          <w:szCs w:val="20"/>
          <w:u w:val="single"/>
        </w:rPr>
        <w:t xml:space="preserve"> </w:t>
      </w:r>
      <w:r w:rsidRPr="00474DFA">
        <w:rPr>
          <w:color w:val="000000"/>
          <w:szCs w:val="20"/>
          <w:u w:val="single"/>
        </w:rPr>
        <w:t>projektu</w:t>
      </w:r>
      <w:r w:rsidRPr="00E571F0">
        <w:rPr>
          <w:color w:val="000000"/>
          <w:szCs w:val="20"/>
        </w:rPr>
        <w:t>.</w:t>
      </w:r>
      <w:r w:rsidR="00656606" w:rsidRPr="00E571F0">
        <w:rPr>
          <w:color w:val="000000"/>
          <w:szCs w:val="20"/>
        </w:rPr>
        <w:t xml:space="preserve"> </w:t>
      </w:r>
    </w:p>
    <w:p w14:paraId="362A8AAF" w14:textId="77777777" w:rsidR="0001445F" w:rsidRPr="00E571F0" w:rsidRDefault="0001445F" w:rsidP="00CF081B">
      <w:pPr>
        <w:pStyle w:val="Akapitzlist"/>
        <w:rPr>
          <w:b/>
          <w:color w:val="000000"/>
          <w:szCs w:val="20"/>
        </w:rPr>
      </w:pPr>
      <w:r w:rsidRPr="00E571F0">
        <w:rPr>
          <w:b/>
          <w:color w:val="000000"/>
          <w:szCs w:val="20"/>
        </w:rPr>
        <w:t>Czy zakup wybranych wyrobów medycznych jest uzasadniony (jeśli dotyczy)?</w:t>
      </w:r>
    </w:p>
    <w:p w14:paraId="75E759D6" w14:textId="17E01534" w:rsidR="00AB4E55" w:rsidRPr="00AB4E55" w:rsidRDefault="002851B0" w:rsidP="009714F2">
      <w:pPr>
        <w:jc w:val="both"/>
        <w:rPr>
          <w:color w:val="000000"/>
          <w:szCs w:val="20"/>
        </w:rPr>
      </w:pPr>
      <w:r w:rsidRPr="002851B0">
        <w:rPr>
          <w:color w:val="000000"/>
          <w:szCs w:val="20"/>
        </w:rPr>
        <w:t>Należy wskazać czy w ramach projektu planowany jest zakup następujących wyrobów medycznych:</w:t>
      </w:r>
      <w:r>
        <w:rPr>
          <w:color w:val="000000"/>
          <w:szCs w:val="20"/>
        </w:rPr>
        <w:t xml:space="preserve"> </w:t>
      </w:r>
      <w:r w:rsidR="00AB4E55" w:rsidRPr="002851B0">
        <w:rPr>
          <w:color w:val="000000"/>
          <w:szCs w:val="20"/>
        </w:rPr>
        <w:t xml:space="preserve">analizatorów biochemicznych wieloparametrowych, </w:t>
      </w:r>
      <w:proofErr w:type="spellStart"/>
      <w:r w:rsidR="00AB4E55" w:rsidRPr="002851B0">
        <w:rPr>
          <w:color w:val="000000"/>
          <w:szCs w:val="20"/>
        </w:rPr>
        <w:t>gammakamer</w:t>
      </w:r>
      <w:proofErr w:type="spellEnd"/>
      <w:r w:rsidR="00AB4E55" w:rsidRPr="002851B0">
        <w:rPr>
          <w:color w:val="000000"/>
          <w:szCs w:val="20"/>
        </w:rPr>
        <w:t xml:space="preserve">, </w:t>
      </w:r>
      <w:proofErr w:type="spellStart"/>
      <w:r w:rsidR="00AB4E55" w:rsidRPr="002851B0">
        <w:rPr>
          <w:color w:val="000000"/>
          <w:szCs w:val="20"/>
        </w:rPr>
        <w:t>litotrypterów</w:t>
      </w:r>
      <w:proofErr w:type="spellEnd"/>
      <w:r w:rsidR="00AB4E55" w:rsidRPr="002851B0">
        <w:rPr>
          <w:color w:val="000000"/>
          <w:szCs w:val="20"/>
        </w:rPr>
        <w:t>, rezonansów magnetycznych, urządzeń angiograficznych, tomografów komputerowych, echokardiografów (ultrasonografów kardiologicznych), mammografów, aparatów RTG z</w:t>
      </w:r>
      <w:r w:rsidR="009714F2" w:rsidRPr="002851B0">
        <w:rPr>
          <w:color w:val="000000"/>
          <w:szCs w:val="20"/>
        </w:rPr>
        <w:t> </w:t>
      </w:r>
      <w:r w:rsidR="00AB4E55" w:rsidRPr="002851B0">
        <w:rPr>
          <w:color w:val="000000"/>
          <w:szCs w:val="20"/>
        </w:rPr>
        <w:t>opcją naczyniową i obróbką cyfrową, aparatów RTG z torem wizyjnym, aparatów HDR / PDR do brachyterapii oraz stołów operacyjnych.</w:t>
      </w:r>
    </w:p>
    <w:p w14:paraId="476E5B8E" w14:textId="018AFC4E" w:rsidR="00AB4E55" w:rsidRPr="002851B0" w:rsidRDefault="002851B0" w:rsidP="00107BE9">
      <w:pPr>
        <w:rPr>
          <w:szCs w:val="20"/>
        </w:rPr>
      </w:pPr>
      <w:r w:rsidRPr="002851B0">
        <w:rPr>
          <w:szCs w:val="20"/>
        </w:rPr>
        <w:lastRenderedPageBreak/>
        <w:t xml:space="preserve">W przypadku zakupu wskazanych </w:t>
      </w:r>
      <w:r w:rsidR="00AB4E55" w:rsidRPr="002851B0">
        <w:rPr>
          <w:szCs w:val="20"/>
        </w:rPr>
        <w:t xml:space="preserve">powyżej wyrobów medycznych </w:t>
      </w:r>
      <w:r w:rsidRPr="002851B0">
        <w:rPr>
          <w:szCs w:val="20"/>
        </w:rPr>
        <w:t xml:space="preserve">zakup ten jest </w:t>
      </w:r>
      <w:r w:rsidR="00AB4E55" w:rsidRPr="002851B0">
        <w:rPr>
          <w:szCs w:val="20"/>
        </w:rPr>
        <w:t>możliwy jedynie w przypadku, gdy:</w:t>
      </w:r>
    </w:p>
    <w:p w14:paraId="6FBB3751" w14:textId="4E7A6F6F" w:rsidR="00107BE9" w:rsidRDefault="00AB4E55" w:rsidP="00683653">
      <w:pPr>
        <w:pStyle w:val="Akapitzlist"/>
        <w:numPr>
          <w:ilvl w:val="0"/>
          <w:numId w:val="42"/>
        </w:numPr>
        <w:spacing w:before="0" w:after="0"/>
        <w:rPr>
          <w:color w:val="000000"/>
          <w:szCs w:val="20"/>
        </w:rPr>
      </w:pPr>
      <w:r w:rsidRPr="00AB4E55">
        <w:rPr>
          <w:color w:val="000000"/>
          <w:szCs w:val="20"/>
        </w:rPr>
        <w:t>wskaźnik liczby danego wyrobu medycznego na 100 tys. mieszkańców województwa świętokrzyskiego jest niższy niż średnia dla Polski</w:t>
      </w:r>
      <w:r w:rsidR="00BD30C5">
        <w:rPr>
          <w:rStyle w:val="Odwoanieprzypisudolnego"/>
          <w:color w:val="000000"/>
          <w:szCs w:val="20"/>
        </w:rPr>
        <w:footnoteReference w:id="28"/>
      </w:r>
      <w:r w:rsidRPr="00AB4E55">
        <w:rPr>
          <w:color w:val="000000"/>
          <w:szCs w:val="20"/>
        </w:rPr>
        <w:t xml:space="preserve"> </w:t>
      </w:r>
    </w:p>
    <w:p w14:paraId="7C460B5E" w14:textId="77777777" w:rsidR="00AB4E55" w:rsidRPr="00107BE9" w:rsidRDefault="00AB4E55" w:rsidP="00683653">
      <w:pPr>
        <w:spacing w:before="0" w:beforeAutospacing="0" w:after="0" w:afterAutospacing="0"/>
        <w:rPr>
          <w:color w:val="000000"/>
          <w:szCs w:val="20"/>
        </w:rPr>
      </w:pPr>
      <w:r w:rsidRPr="00107BE9">
        <w:rPr>
          <w:color w:val="000000"/>
          <w:szCs w:val="20"/>
        </w:rPr>
        <w:t>LUB</w:t>
      </w:r>
    </w:p>
    <w:p w14:paraId="262F198C" w14:textId="52089338" w:rsidR="00107BE9" w:rsidRDefault="00AB4E55" w:rsidP="00683653">
      <w:pPr>
        <w:pStyle w:val="Akapitzlist"/>
        <w:numPr>
          <w:ilvl w:val="0"/>
          <w:numId w:val="42"/>
        </w:numPr>
        <w:spacing w:before="0" w:after="0"/>
        <w:rPr>
          <w:color w:val="000000"/>
          <w:szCs w:val="20"/>
        </w:rPr>
      </w:pPr>
      <w:r w:rsidRPr="00AB4E55">
        <w:rPr>
          <w:color w:val="000000"/>
          <w:szCs w:val="20"/>
        </w:rPr>
        <w:t>wskaźnik kosztów serwisu (napraw) wyrobu medycznego świadczący o jego zużyciu jest równy lub wyższy 75%</w:t>
      </w:r>
      <w:r w:rsidR="00107BE9">
        <w:rPr>
          <w:rStyle w:val="Odwoanieprzypisudolnego"/>
          <w:color w:val="000000"/>
          <w:szCs w:val="20"/>
        </w:rPr>
        <w:footnoteReference w:id="29"/>
      </w:r>
      <w:r w:rsidRPr="00AB4E55">
        <w:rPr>
          <w:color w:val="000000"/>
          <w:szCs w:val="20"/>
        </w:rPr>
        <w:t xml:space="preserve">  </w:t>
      </w:r>
    </w:p>
    <w:p w14:paraId="77F3E832" w14:textId="77777777" w:rsidR="00AB4E55" w:rsidRPr="00AB4E55" w:rsidRDefault="00AB4E55" w:rsidP="00683653">
      <w:pPr>
        <w:spacing w:before="0" w:beforeAutospacing="0" w:after="0" w:afterAutospacing="0"/>
        <w:rPr>
          <w:color w:val="000000"/>
          <w:szCs w:val="20"/>
        </w:rPr>
      </w:pPr>
      <w:r w:rsidRPr="00AB4E55">
        <w:rPr>
          <w:color w:val="000000"/>
          <w:szCs w:val="20"/>
        </w:rPr>
        <w:t>LUB</w:t>
      </w:r>
    </w:p>
    <w:p w14:paraId="631FCC49" w14:textId="77777777" w:rsidR="00107BE9" w:rsidRDefault="00AB4E55" w:rsidP="00683653">
      <w:pPr>
        <w:pStyle w:val="Akapitzlist"/>
        <w:numPr>
          <w:ilvl w:val="0"/>
          <w:numId w:val="42"/>
        </w:numPr>
        <w:spacing w:before="0" w:after="0"/>
        <w:rPr>
          <w:color w:val="000000"/>
          <w:szCs w:val="20"/>
        </w:rPr>
      </w:pPr>
      <w:r w:rsidRPr="00AB4E55">
        <w:rPr>
          <w:color w:val="000000"/>
          <w:szCs w:val="20"/>
        </w:rPr>
        <w:t xml:space="preserve">wyrób medyczny ma więcej niż 8 lat  </w:t>
      </w:r>
    </w:p>
    <w:p w14:paraId="55ECEBC1" w14:textId="77777777" w:rsidR="00AB4E55" w:rsidRPr="00AB4E55" w:rsidRDefault="00AB4E55" w:rsidP="00683653">
      <w:pPr>
        <w:spacing w:before="0" w:beforeAutospacing="0" w:after="0" w:afterAutospacing="0"/>
        <w:rPr>
          <w:color w:val="000000"/>
          <w:szCs w:val="20"/>
        </w:rPr>
      </w:pPr>
      <w:r w:rsidRPr="00AB4E55">
        <w:rPr>
          <w:color w:val="000000"/>
          <w:szCs w:val="20"/>
        </w:rPr>
        <w:t>LUB</w:t>
      </w:r>
    </w:p>
    <w:p w14:paraId="7D1D1FC7" w14:textId="5BC28F84" w:rsidR="00107BE9" w:rsidRPr="00D242A8" w:rsidRDefault="00AB4E55" w:rsidP="00683653">
      <w:pPr>
        <w:pStyle w:val="Akapitzlist"/>
        <w:numPr>
          <w:ilvl w:val="0"/>
          <w:numId w:val="42"/>
        </w:numPr>
        <w:spacing w:before="0" w:after="0"/>
        <w:ind w:left="360"/>
        <w:rPr>
          <w:color w:val="000000"/>
          <w:szCs w:val="20"/>
        </w:rPr>
      </w:pPr>
      <w:r w:rsidRPr="00D242A8">
        <w:rPr>
          <w:color w:val="000000"/>
          <w:szCs w:val="20"/>
        </w:rPr>
        <w:t>posiadany wyrób medyczny jest wykorzystywany w 100% jego możliwości technicznych.</w:t>
      </w:r>
    </w:p>
    <w:p w14:paraId="33102A12" w14:textId="77777777" w:rsidR="00767746" w:rsidRDefault="00767746" w:rsidP="00CF081B">
      <w:pPr>
        <w:pStyle w:val="Akapitzlist"/>
        <w:rPr>
          <w:b/>
          <w:color w:val="000000"/>
          <w:szCs w:val="20"/>
        </w:rPr>
      </w:pPr>
      <w:r w:rsidRPr="00767746">
        <w:rPr>
          <w:b/>
          <w:color w:val="000000"/>
          <w:szCs w:val="20"/>
        </w:rPr>
        <w:t>Czy w projekcie zastosowano koncepcję uniwersalnego projektowania (jeśli dotyczy)?</w:t>
      </w:r>
    </w:p>
    <w:p w14:paraId="71364EA2" w14:textId="38876F20" w:rsidR="007226C4" w:rsidRPr="007226C4" w:rsidRDefault="007226C4" w:rsidP="00550DB8">
      <w:pPr>
        <w:jc w:val="both"/>
        <w:rPr>
          <w:color w:val="FF0000"/>
        </w:rPr>
      </w:pPr>
      <w:r w:rsidRPr="00FB4580">
        <w:t xml:space="preserve">Należy wskazać czy </w:t>
      </w:r>
      <w:r w:rsidR="00242A7F" w:rsidRPr="00FB4580">
        <w:t xml:space="preserve">realizacja projektu obejmuje </w:t>
      </w:r>
      <w:r w:rsidRPr="00FB4580">
        <w:t>zastosowan</w:t>
      </w:r>
      <w:r w:rsidR="00242A7F" w:rsidRPr="00FB4580">
        <w:t>ie</w:t>
      </w:r>
      <w:r w:rsidRPr="00FB4580">
        <w:t xml:space="preserve"> zasad równości szans i niedyskryminacji, w tym dostępności dla osób z niepełnosprawnościami w przypadku projektów związanych z budową lub modernizacją (przebudowa, rozbudowa)</w:t>
      </w:r>
      <w:r w:rsidR="00242A7F" w:rsidRPr="00FB4580">
        <w:t xml:space="preserve"> posiadanej infrastruktury technicznej</w:t>
      </w:r>
      <w:r w:rsidRPr="00FB4580">
        <w:t xml:space="preserve">. W sytuacji gdy realizacja projektu nie obejmuje </w:t>
      </w:r>
      <w:r w:rsidR="00242A7F" w:rsidRPr="00FB4580">
        <w:t>zastosowania koncepcji uniwersalnego projektowania należy opisać przyczynę zaistniałej sytuacji</w:t>
      </w:r>
      <w:r w:rsidR="00242A7F">
        <w:rPr>
          <w:color w:val="FF0000"/>
        </w:rPr>
        <w:t>.</w:t>
      </w:r>
    </w:p>
    <w:p w14:paraId="36E828A2" w14:textId="77777777" w:rsidR="00FF6D76" w:rsidRPr="00303BD3" w:rsidRDefault="00FF6D76" w:rsidP="00CF081B">
      <w:pPr>
        <w:pStyle w:val="Akapitzlist"/>
        <w:keepNext/>
        <w:ind w:left="993" w:hanging="993"/>
        <w:rPr>
          <w:b/>
          <w:color w:val="000000"/>
          <w:szCs w:val="20"/>
        </w:rPr>
      </w:pPr>
      <w:r w:rsidRPr="00303BD3">
        <w:rPr>
          <w:b/>
          <w:color w:val="000000"/>
          <w:szCs w:val="20"/>
        </w:rPr>
        <w:t>Czy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projekt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wykazuje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zdolność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do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adaptacji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do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zmian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klimatu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i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reagowania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na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ryzyko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powodziowe?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(jeśli</w:t>
      </w:r>
      <w:r w:rsidR="00656606" w:rsidRPr="00303BD3">
        <w:rPr>
          <w:b/>
          <w:color w:val="000000"/>
          <w:szCs w:val="20"/>
        </w:rPr>
        <w:t xml:space="preserve"> </w:t>
      </w:r>
      <w:r w:rsidRPr="00303BD3">
        <w:rPr>
          <w:b/>
          <w:color w:val="000000"/>
          <w:szCs w:val="20"/>
        </w:rPr>
        <w:t>dotyczy)</w:t>
      </w:r>
    </w:p>
    <w:p w14:paraId="60097DFD" w14:textId="57EF579D" w:rsidR="005F684B" w:rsidRPr="00FB4580" w:rsidRDefault="005F684B" w:rsidP="00CF081B">
      <w:pPr>
        <w:jc w:val="both"/>
        <w:rPr>
          <w:szCs w:val="20"/>
        </w:rPr>
      </w:pPr>
      <w:r w:rsidRPr="00FB4580">
        <w:rPr>
          <w:szCs w:val="20"/>
        </w:rPr>
        <w:t>Należy wskazać czy infrastruktura będąca przedmiotem projektu zlokalizowana jest na obszarach zagrożonych powodzią. Jeżeli tak to czy wszystkie działania planowane do realizacji w ramach projektu zostały zaprojektowane w sposób, który uwzględnia to ryzyko. Jednocześnie dokumentacja projektowa powinna wyraźnie wskazywać, czy inwestycja ma wpływ na ryzyko powodziowe, a jeśli tak, to w jaki sposób zarządza się tym ryzykiem.</w:t>
      </w:r>
    </w:p>
    <w:p w14:paraId="036BB1FC" w14:textId="7DD134B8" w:rsidR="00FF6D76" w:rsidRPr="005F684B" w:rsidRDefault="00656606" w:rsidP="00CF081B">
      <w:pPr>
        <w:jc w:val="both"/>
        <w:rPr>
          <w:strike/>
          <w:color w:val="000000"/>
          <w:szCs w:val="20"/>
        </w:rPr>
      </w:pPr>
      <w:r w:rsidRPr="005F684B">
        <w:rPr>
          <w:strike/>
          <w:color w:val="000000"/>
          <w:szCs w:val="20"/>
        </w:rPr>
        <w:t xml:space="preserve"> </w:t>
      </w:r>
    </w:p>
    <w:p w14:paraId="5597CFEF" w14:textId="77777777" w:rsidR="00FF6D76" w:rsidRPr="006F20D2" w:rsidRDefault="00FF6D76" w:rsidP="00CF081B">
      <w:pPr>
        <w:rPr>
          <w:color w:val="000000"/>
          <w:szCs w:val="20"/>
        </w:rPr>
      </w:pPr>
      <w:r w:rsidRPr="006F20D2">
        <w:rPr>
          <w:color w:val="000000"/>
          <w:szCs w:val="20"/>
        </w:rPr>
        <w:t>Kryterium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to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nie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dotyczy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projektu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o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charakterze</w:t>
      </w:r>
      <w:r w:rsidR="00656606" w:rsidRPr="006F20D2">
        <w:rPr>
          <w:color w:val="000000"/>
          <w:szCs w:val="20"/>
        </w:rPr>
        <w:t xml:space="preserve"> </w:t>
      </w:r>
      <w:r w:rsidRPr="006F20D2">
        <w:rPr>
          <w:color w:val="000000"/>
          <w:szCs w:val="20"/>
        </w:rPr>
        <w:t>nieinfrastrukturalnym</w:t>
      </w:r>
      <w:r w:rsidRPr="006F20D2">
        <w:rPr>
          <w:rStyle w:val="Odwoanieprzypisudolnego"/>
          <w:color w:val="000000"/>
          <w:szCs w:val="20"/>
        </w:rPr>
        <w:footnoteReference w:id="30"/>
      </w:r>
      <w:r w:rsidRPr="006F20D2">
        <w:rPr>
          <w:color w:val="000000"/>
          <w:szCs w:val="20"/>
        </w:rPr>
        <w:t>.</w:t>
      </w:r>
    </w:p>
    <w:p w14:paraId="71EBA833" w14:textId="77777777" w:rsidR="006F20D2" w:rsidRPr="006F20D2" w:rsidRDefault="006F20D2" w:rsidP="00CF081B">
      <w:pPr>
        <w:pStyle w:val="Akapitzlist"/>
        <w:keepNext/>
        <w:ind w:left="993" w:hanging="993"/>
        <w:rPr>
          <w:b/>
          <w:color w:val="000000"/>
          <w:szCs w:val="20"/>
        </w:rPr>
      </w:pPr>
      <w:r w:rsidRPr="006F20D2">
        <w:rPr>
          <w:b/>
          <w:color w:val="000000"/>
          <w:szCs w:val="24"/>
        </w:rPr>
        <w:lastRenderedPageBreak/>
        <w:t xml:space="preserve">Czy wsparcie ujęte w projekcie jest niezbędne z punku widzenia udzielania świadczeń zdrowotnych finansowanych ze środków publicznych z zakresu </w:t>
      </w:r>
      <w:r w:rsidR="00D62ECC" w:rsidRPr="00D62ECC">
        <w:rPr>
          <w:b/>
          <w:bCs/>
          <w:szCs w:val="24"/>
        </w:rPr>
        <w:t>rehabilitacji ogólnoustrojowej dedykowanej chorobom układu kostno-mięśniowego?</w:t>
      </w:r>
      <w:r w:rsidRPr="006F20D2">
        <w:rPr>
          <w:b/>
          <w:bCs/>
          <w:szCs w:val="24"/>
        </w:rPr>
        <w:t xml:space="preserve">? </w:t>
      </w:r>
    </w:p>
    <w:p w14:paraId="78A08FF4" w14:textId="4A4801F3" w:rsidR="000908D2" w:rsidRPr="00DE4AD6" w:rsidRDefault="007663ED" w:rsidP="00CF081B">
      <w:pPr>
        <w:jc w:val="both"/>
        <w:rPr>
          <w:rFonts w:asciiTheme="minorHAnsi" w:hAnsiTheme="minorHAnsi" w:cstheme="minorHAnsi"/>
          <w:strike/>
        </w:rPr>
      </w:pPr>
      <w:r w:rsidRPr="00DE4AD6">
        <w:rPr>
          <w:rFonts w:asciiTheme="minorHAnsi" w:hAnsiTheme="minorHAnsi" w:cstheme="minorHAnsi"/>
        </w:rPr>
        <w:t>Należy wskazać czy uwzględniono wszystkie limity wydatków, które zostały przyjęte dla konkursu</w:t>
      </w:r>
      <w:r w:rsidR="005F353E" w:rsidRPr="00DE4AD6">
        <w:rPr>
          <w:rFonts w:asciiTheme="minorHAnsi" w:hAnsiTheme="minorHAnsi" w:cstheme="minorHAnsi"/>
        </w:rPr>
        <w:t>, w tym czy:</w:t>
      </w:r>
      <w:r w:rsidRPr="00DE4AD6">
        <w:rPr>
          <w:rFonts w:asciiTheme="minorHAnsi" w:hAnsiTheme="minorHAnsi" w:cstheme="minorHAnsi"/>
        </w:rPr>
        <w:t xml:space="preserve"> </w:t>
      </w:r>
    </w:p>
    <w:p w14:paraId="42BF8557" w14:textId="477FAAC8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1.</w:t>
      </w:r>
      <w:r w:rsidRPr="00D62ECC">
        <w:rPr>
          <w:rFonts w:asciiTheme="minorHAnsi" w:hAnsiTheme="minorHAnsi" w:cstheme="minorHAnsi"/>
        </w:rPr>
        <w:tab/>
        <w:t xml:space="preserve">wydatki związane z przeprowadzeniem robót budowlanych infrastruktury wspólnej, tj. m. in. dachu, piwnic, klatek schodowych, wind, wewnętrznych ciągów komunikacyjnych w budynku, w którym zlokalizowane będą komórki organizacyjne realizujące świadczenia zdrowotne w zakresie rehabilitacji ogólnoustrojowej dedykowanej chorobom układu kostno-mięśniowego stanowiące przedmiot konkursu, </w:t>
      </w:r>
      <w:r w:rsidR="007E7F39" w:rsidRPr="00DE4AD6">
        <w:rPr>
          <w:rFonts w:asciiTheme="minorHAnsi" w:hAnsiTheme="minorHAnsi" w:cstheme="minorHAnsi"/>
        </w:rPr>
        <w:t xml:space="preserve">zostały wskazane jako </w:t>
      </w:r>
      <w:r w:rsidRPr="00D62ECC">
        <w:rPr>
          <w:rFonts w:asciiTheme="minorHAnsi" w:hAnsiTheme="minorHAnsi" w:cstheme="minorHAnsi"/>
        </w:rPr>
        <w:t>kwalifikowalne jedynie w proporcji równej udziałowi powierzchni tych komórek organizacyjnych w całości powierzchni budynku, w którym się znajdują,</w:t>
      </w:r>
    </w:p>
    <w:p w14:paraId="486B44A1" w14:textId="07C79CE4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2.</w:t>
      </w:r>
      <w:r w:rsidRPr="00D62ECC">
        <w:rPr>
          <w:rFonts w:asciiTheme="minorHAnsi" w:hAnsiTheme="minorHAnsi" w:cstheme="minorHAnsi"/>
        </w:rPr>
        <w:tab/>
        <w:t>wydatki związane z przeprowadzenie robót budowlanych i doposażeniem pracowni diagnostycznych, które współpracują przy udzielaniu świadczeń zdrowotnych w</w:t>
      </w:r>
      <w:r w:rsidR="002C2173">
        <w:rPr>
          <w:rFonts w:asciiTheme="minorHAnsi" w:hAnsiTheme="minorHAnsi" w:cstheme="minorHAnsi"/>
        </w:rPr>
        <w:t> </w:t>
      </w:r>
      <w:r w:rsidRPr="00D62ECC">
        <w:rPr>
          <w:rFonts w:asciiTheme="minorHAnsi" w:hAnsiTheme="minorHAnsi" w:cstheme="minorHAnsi"/>
        </w:rPr>
        <w:t xml:space="preserve">zakresie rehabilitacji ogólnoustrojowej dedykowanej chorobom układu kostno-mięśniowego </w:t>
      </w:r>
      <w:r w:rsidR="007E7F39" w:rsidRPr="00DE4AD6">
        <w:rPr>
          <w:rFonts w:asciiTheme="minorHAnsi" w:hAnsiTheme="minorHAnsi" w:cstheme="minorHAnsi"/>
        </w:rPr>
        <w:t xml:space="preserve">zostały wskazane jako </w:t>
      </w:r>
      <w:r w:rsidRPr="00D62ECC">
        <w:rPr>
          <w:rFonts w:asciiTheme="minorHAnsi" w:hAnsiTheme="minorHAnsi" w:cstheme="minorHAnsi"/>
        </w:rPr>
        <w:t>kwalifikowalne jedynie w proporcji równej udziałowi w</w:t>
      </w:r>
      <w:r w:rsidR="002C2173">
        <w:rPr>
          <w:rFonts w:asciiTheme="minorHAnsi" w:hAnsiTheme="minorHAnsi" w:cstheme="minorHAnsi"/>
        </w:rPr>
        <w:t> </w:t>
      </w:r>
      <w:r w:rsidRPr="00D62ECC">
        <w:rPr>
          <w:rFonts w:asciiTheme="minorHAnsi" w:hAnsiTheme="minorHAnsi" w:cstheme="minorHAnsi"/>
        </w:rPr>
        <w:t>jakiej ich działalność realizowana jest na rzecz komórek organizacyjnych udzielających świadczeń zdrowotnych w dziedzinach stanowiących przedmiot konkursu,</w:t>
      </w:r>
    </w:p>
    <w:p w14:paraId="5634AF27" w14:textId="0FDA8F54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3.</w:t>
      </w:r>
      <w:r w:rsidRPr="00D62ECC">
        <w:rPr>
          <w:rFonts w:asciiTheme="minorHAnsi" w:hAnsiTheme="minorHAnsi" w:cstheme="minorHAnsi"/>
        </w:rPr>
        <w:tab/>
        <w:t xml:space="preserve">za kwalifikowalne nie </w:t>
      </w:r>
      <w:r w:rsidR="007E7F39" w:rsidRPr="00DE4AD6">
        <w:rPr>
          <w:rFonts w:asciiTheme="minorHAnsi" w:hAnsiTheme="minorHAnsi" w:cstheme="minorHAnsi"/>
        </w:rPr>
        <w:t>zostały</w:t>
      </w:r>
      <w:r w:rsidR="007E7F39">
        <w:rPr>
          <w:rFonts w:asciiTheme="minorHAnsi" w:hAnsiTheme="minorHAnsi" w:cstheme="minorHAnsi"/>
          <w:color w:val="FF0000"/>
        </w:rPr>
        <w:t xml:space="preserve"> </w:t>
      </w:r>
      <w:r w:rsidRPr="00D62ECC">
        <w:rPr>
          <w:rFonts w:asciiTheme="minorHAnsi" w:hAnsiTheme="minorHAnsi" w:cstheme="minorHAnsi"/>
        </w:rPr>
        <w:t>uznane wydatki związane z budową/remontem: miejsc parkingowych, a także dróg, chodników prowadzących z drogi publicznej do podmiotu leczniczego oraz inną infrastrukturą zewnętrzną, która nie jest bezpośrednio związana z infrastrukturą przeznaczoną do udzielania świadczeń zdrowotnych stanowiących przedmiot konkursu,</w:t>
      </w:r>
    </w:p>
    <w:p w14:paraId="3E303CC4" w14:textId="4EB93B58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4.</w:t>
      </w:r>
      <w:r w:rsidRPr="00D62ECC">
        <w:rPr>
          <w:rFonts w:asciiTheme="minorHAnsi" w:hAnsiTheme="minorHAnsi" w:cstheme="minorHAnsi"/>
        </w:rPr>
        <w:tab/>
        <w:t>w przypadku wydatków związanych z budową lub modernizacją sieci, instalacji i</w:t>
      </w:r>
      <w:r w:rsidR="002C2173">
        <w:rPr>
          <w:rFonts w:asciiTheme="minorHAnsi" w:hAnsiTheme="minorHAnsi" w:cstheme="minorHAnsi"/>
        </w:rPr>
        <w:t> </w:t>
      </w:r>
      <w:r w:rsidRPr="00D62ECC">
        <w:rPr>
          <w:rFonts w:asciiTheme="minorHAnsi" w:hAnsiTheme="minorHAnsi" w:cstheme="minorHAnsi"/>
        </w:rPr>
        <w:t>urządzeń zapewniających możliwość użytkowania infrastruktury zgodnie z jej przeznaczeniem, tj. m.</w:t>
      </w:r>
      <w:r w:rsidR="002C2173">
        <w:rPr>
          <w:rFonts w:asciiTheme="minorHAnsi" w:hAnsiTheme="minorHAnsi" w:cstheme="minorHAnsi"/>
        </w:rPr>
        <w:t xml:space="preserve"> </w:t>
      </w:r>
      <w:r w:rsidRPr="00D62ECC">
        <w:rPr>
          <w:rFonts w:asciiTheme="minorHAnsi" w:hAnsiTheme="minorHAnsi" w:cstheme="minorHAnsi"/>
        </w:rPr>
        <w:t xml:space="preserve">in. telekomunikacyjnych, cieplnych, wentylacyjnych, gazowych, wodociągowych, kanalizacyjnych, elektrycznych lub elektroenergetycznych, za kwalifikowalne </w:t>
      </w:r>
      <w:r w:rsidR="007E7F39" w:rsidRPr="00DE4AD6">
        <w:rPr>
          <w:rFonts w:asciiTheme="minorHAnsi" w:hAnsiTheme="minorHAnsi" w:cstheme="minorHAnsi"/>
        </w:rPr>
        <w:t xml:space="preserve">zostały </w:t>
      </w:r>
      <w:r w:rsidRPr="00D62ECC">
        <w:rPr>
          <w:rFonts w:asciiTheme="minorHAnsi" w:hAnsiTheme="minorHAnsi" w:cstheme="minorHAnsi"/>
        </w:rPr>
        <w:t>uznane wyłącznie wydatki związane z budową/modernizacją ww. sieci na potrzeby komórek organizacyjnych udzielających świadczeń zdrowotnych stanowiących przedmiot konkursu,</w:t>
      </w:r>
    </w:p>
    <w:p w14:paraId="5B97FD9F" w14:textId="332670CB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5.</w:t>
      </w:r>
      <w:r w:rsidRPr="00D62ECC">
        <w:rPr>
          <w:rFonts w:asciiTheme="minorHAnsi" w:hAnsiTheme="minorHAnsi" w:cstheme="minorHAnsi"/>
        </w:rPr>
        <w:tab/>
        <w:t>za kwalifikowane nie</w:t>
      </w:r>
      <w:r w:rsidRPr="00DE4AD6">
        <w:rPr>
          <w:rFonts w:asciiTheme="minorHAnsi" w:hAnsiTheme="minorHAnsi" w:cstheme="minorHAnsi"/>
        </w:rPr>
        <w:t xml:space="preserve"> </w:t>
      </w:r>
      <w:r w:rsidR="00451133" w:rsidRPr="00DE4AD6">
        <w:rPr>
          <w:rFonts w:asciiTheme="minorHAnsi" w:hAnsiTheme="minorHAnsi" w:cstheme="minorHAnsi"/>
        </w:rPr>
        <w:t xml:space="preserve">zostały </w:t>
      </w:r>
      <w:r w:rsidRPr="00D62ECC">
        <w:rPr>
          <w:rFonts w:asciiTheme="minorHAnsi" w:hAnsiTheme="minorHAnsi" w:cstheme="minorHAnsi"/>
        </w:rPr>
        <w:t>uznane wydatki poniesione na zakup wyrobów medycznych jednorazowego użytku,</w:t>
      </w:r>
    </w:p>
    <w:p w14:paraId="70E9B578" w14:textId="64C1DCB5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lastRenderedPageBreak/>
        <w:t>6.</w:t>
      </w:r>
      <w:r w:rsidRPr="00D62ECC">
        <w:rPr>
          <w:rFonts w:asciiTheme="minorHAnsi" w:hAnsiTheme="minorHAnsi" w:cstheme="minorHAnsi"/>
        </w:rPr>
        <w:tab/>
        <w:t xml:space="preserve">za kwalifikowalne nie </w:t>
      </w:r>
      <w:r w:rsidR="00451133" w:rsidRPr="00DE4AD6">
        <w:rPr>
          <w:rFonts w:asciiTheme="minorHAnsi" w:hAnsiTheme="minorHAnsi" w:cstheme="minorHAnsi"/>
        </w:rPr>
        <w:t>zostały</w:t>
      </w:r>
      <w:r w:rsidR="00451133">
        <w:rPr>
          <w:rFonts w:asciiTheme="minorHAnsi" w:hAnsiTheme="minorHAnsi" w:cstheme="minorHAnsi"/>
          <w:color w:val="FF0000"/>
        </w:rPr>
        <w:t xml:space="preserve"> </w:t>
      </w:r>
      <w:r w:rsidRPr="00D62ECC">
        <w:rPr>
          <w:rFonts w:asciiTheme="minorHAnsi" w:hAnsiTheme="minorHAnsi" w:cstheme="minorHAnsi"/>
        </w:rPr>
        <w:t>uznane wydatki poniesione na zakup m. in. telewizorów, sprzętu grającego, kin domowych i innego wyposażenia, które nie jest niezbędne z punktu widzenia udzielania świadczeń zdrowotnych,</w:t>
      </w:r>
    </w:p>
    <w:p w14:paraId="50E3AE56" w14:textId="4A06C9F2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7.</w:t>
      </w:r>
      <w:r w:rsidRPr="00D62ECC">
        <w:rPr>
          <w:rFonts w:asciiTheme="minorHAnsi" w:hAnsiTheme="minorHAnsi" w:cstheme="minorHAnsi"/>
        </w:rPr>
        <w:tab/>
        <w:t xml:space="preserve">za kwalifikowalne </w:t>
      </w:r>
      <w:r w:rsidR="00451133" w:rsidRPr="00DE4AD6">
        <w:rPr>
          <w:rFonts w:asciiTheme="minorHAnsi" w:hAnsiTheme="minorHAnsi" w:cstheme="minorHAnsi"/>
        </w:rPr>
        <w:t xml:space="preserve">zostały </w:t>
      </w:r>
      <w:r w:rsidRPr="00D62ECC">
        <w:rPr>
          <w:rFonts w:asciiTheme="minorHAnsi" w:hAnsiTheme="minorHAnsi" w:cstheme="minorHAnsi"/>
        </w:rPr>
        <w:t xml:space="preserve">uznane wydatki związane z zakupem sprzętu AGD takiego jak lodówki, szafy chłodnicze, zamrażarki, </w:t>
      </w:r>
      <w:r w:rsidR="00451133" w:rsidRPr="00DE4AD6">
        <w:rPr>
          <w:rFonts w:asciiTheme="minorHAnsi" w:hAnsiTheme="minorHAnsi" w:cstheme="minorHAnsi"/>
        </w:rPr>
        <w:t xml:space="preserve">które będą </w:t>
      </w:r>
      <w:r w:rsidRPr="00D62ECC">
        <w:rPr>
          <w:rFonts w:asciiTheme="minorHAnsi" w:hAnsiTheme="minorHAnsi" w:cstheme="minorHAnsi"/>
        </w:rPr>
        <w:t>wykorzystywane wyłącznie na potrzeby udzielania świadczeń zdrowotnych,</w:t>
      </w:r>
    </w:p>
    <w:p w14:paraId="49A3E8E4" w14:textId="017E344A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8.</w:t>
      </w:r>
      <w:r w:rsidRPr="00D62ECC">
        <w:rPr>
          <w:rFonts w:asciiTheme="minorHAnsi" w:hAnsiTheme="minorHAnsi" w:cstheme="minorHAnsi"/>
        </w:rPr>
        <w:tab/>
        <w:t xml:space="preserve">za kwalifikowane nie </w:t>
      </w:r>
      <w:r w:rsidR="00451133" w:rsidRPr="00DE4AD6">
        <w:rPr>
          <w:rFonts w:asciiTheme="minorHAnsi" w:hAnsiTheme="minorHAnsi" w:cstheme="minorHAnsi"/>
        </w:rPr>
        <w:t xml:space="preserve">zostały </w:t>
      </w:r>
      <w:r w:rsidRPr="00D62ECC">
        <w:rPr>
          <w:rFonts w:asciiTheme="minorHAnsi" w:hAnsiTheme="minorHAnsi" w:cstheme="minorHAnsi"/>
        </w:rPr>
        <w:t xml:space="preserve">uznane wydatki związane z tworzeniem lub rozbudową zaplecza dydaktycznego tj. </w:t>
      </w:r>
      <w:proofErr w:type="spellStart"/>
      <w:r w:rsidRPr="00D62ECC">
        <w:rPr>
          <w:rFonts w:asciiTheme="minorHAnsi" w:hAnsiTheme="minorHAnsi" w:cstheme="minorHAnsi"/>
        </w:rPr>
        <w:t>sal</w:t>
      </w:r>
      <w:proofErr w:type="spellEnd"/>
      <w:r w:rsidRPr="00D62ECC">
        <w:rPr>
          <w:rFonts w:asciiTheme="minorHAnsi" w:hAnsiTheme="minorHAnsi" w:cstheme="minorHAnsi"/>
        </w:rPr>
        <w:t xml:space="preserve"> dydaktycznych, centrów symulacji medycznej oraz jego wyposażeniem tj. związane z zakupem symulatorów medycznych, fantomów, zestawów multimedialnych,</w:t>
      </w:r>
    </w:p>
    <w:p w14:paraId="302A4FE4" w14:textId="77777777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9.</w:t>
      </w:r>
      <w:r w:rsidRPr="00D62ECC">
        <w:rPr>
          <w:rFonts w:asciiTheme="minorHAnsi" w:hAnsiTheme="minorHAnsi" w:cstheme="minorHAnsi"/>
        </w:rPr>
        <w:tab/>
        <w:t>wydatki na informację i promocję projektu stanowią wydatki niekwalifikowane,</w:t>
      </w:r>
    </w:p>
    <w:p w14:paraId="6247A83B" w14:textId="77777777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10.</w:t>
      </w:r>
      <w:r w:rsidRPr="00D62ECC">
        <w:rPr>
          <w:rFonts w:asciiTheme="minorHAnsi" w:hAnsiTheme="minorHAnsi" w:cstheme="minorHAnsi"/>
        </w:rPr>
        <w:tab/>
        <w:t>wydatki osobowe i wydatki dotyczące zarządzania i nadzoru inwestorskiego i</w:t>
      </w:r>
      <w:r w:rsidR="002C2173">
        <w:rPr>
          <w:rFonts w:asciiTheme="minorHAnsi" w:hAnsiTheme="minorHAnsi" w:cstheme="minorHAnsi"/>
        </w:rPr>
        <w:t> </w:t>
      </w:r>
      <w:r w:rsidRPr="00D62ECC">
        <w:rPr>
          <w:rFonts w:asciiTheme="minorHAnsi" w:hAnsiTheme="minorHAnsi" w:cstheme="minorHAnsi"/>
        </w:rPr>
        <w:t>autorskiego nad projektem nie przekraczają 3 % wydatków kwalifikowalnych projektu,</w:t>
      </w:r>
    </w:p>
    <w:p w14:paraId="720DC76E" w14:textId="77777777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11.</w:t>
      </w:r>
      <w:r w:rsidRPr="00D62ECC">
        <w:rPr>
          <w:rFonts w:asciiTheme="minorHAnsi" w:hAnsiTheme="minorHAnsi" w:cstheme="minorHAnsi"/>
        </w:rPr>
        <w:tab/>
        <w:t>wydatki związane z zakupem wyposażenia biurowego / administracyjnego, które jest niezbędne dla poprawnego funkcjonowania infrastruktury wytworzonej w wyniku realizacji projektu nie przekraczają 10% wydatków kwalifikowalnych w projekcie,</w:t>
      </w:r>
    </w:p>
    <w:p w14:paraId="15A8CBA9" w14:textId="61A8B985" w:rsidR="00D62ECC" w:rsidRPr="00D62ECC" w:rsidRDefault="00D62ECC" w:rsidP="00D62ECC">
      <w:pPr>
        <w:jc w:val="both"/>
        <w:rPr>
          <w:rFonts w:asciiTheme="minorHAnsi" w:hAnsiTheme="minorHAnsi" w:cstheme="minorHAnsi"/>
        </w:rPr>
      </w:pPr>
      <w:r w:rsidRPr="00D62ECC">
        <w:rPr>
          <w:rFonts w:asciiTheme="minorHAnsi" w:hAnsiTheme="minorHAnsi" w:cstheme="minorHAnsi"/>
        </w:rPr>
        <w:t>12.</w:t>
      </w:r>
      <w:r w:rsidRPr="00D62ECC">
        <w:rPr>
          <w:rFonts w:asciiTheme="minorHAnsi" w:hAnsiTheme="minorHAnsi" w:cstheme="minorHAnsi"/>
        </w:rPr>
        <w:tab/>
        <w:t>wydatki związane z zakupem oprogramowania i sprzętu ICT (technologie informacyjno</w:t>
      </w:r>
      <w:r w:rsidR="002C2173">
        <w:rPr>
          <w:rFonts w:asciiTheme="minorHAnsi" w:hAnsiTheme="minorHAnsi" w:cstheme="minorHAnsi"/>
        </w:rPr>
        <w:t>-</w:t>
      </w:r>
      <w:r w:rsidRPr="00D62ECC">
        <w:rPr>
          <w:rFonts w:asciiTheme="minorHAnsi" w:hAnsiTheme="minorHAnsi" w:cstheme="minorHAnsi"/>
        </w:rPr>
        <w:t xml:space="preserve">komunikacyjne), </w:t>
      </w:r>
      <w:r w:rsidR="00451133" w:rsidRPr="00DE4AD6">
        <w:rPr>
          <w:rFonts w:asciiTheme="minorHAnsi" w:hAnsiTheme="minorHAnsi" w:cstheme="minorHAnsi"/>
        </w:rPr>
        <w:t xml:space="preserve">obejmują jedynie wydatki na oprogramowanie i sprzęt nie związany </w:t>
      </w:r>
      <w:r w:rsidRPr="00D62ECC">
        <w:rPr>
          <w:rFonts w:asciiTheme="minorHAnsi" w:hAnsiTheme="minorHAnsi" w:cstheme="minorHAnsi"/>
        </w:rPr>
        <w:t xml:space="preserve">z realizacją działań wskazanych w </w:t>
      </w:r>
      <w:r w:rsidRPr="00D75C79">
        <w:rPr>
          <w:rFonts w:asciiTheme="minorHAnsi" w:hAnsiTheme="minorHAnsi" w:cstheme="minorHAnsi"/>
          <w:i/>
          <w:iCs/>
        </w:rPr>
        <w:t>Narzędziu 26 Policy Paper</w:t>
      </w:r>
      <w:r w:rsidRPr="00D62ECC">
        <w:rPr>
          <w:rFonts w:asciiTheme="minorHAnsi" w:hAnsiTheme="minorHAnsi" w:cstheme="minorHAnsi"/>
        </w:rPr>
        <w:t xml:space="preserve"> </w:t>
      </w:r>
      <w:r w:rsidR="002C2173">
        <w:rPr>
          <w:rFonts w:asciiTheme="minorHAnsi" w:hAnsiTheme="minorHAnsi" w:cstheme="minorHAnsi"/>
        </w:rPr>
        <w:t>—</w:t>
      </w:r>
      <w:r w:rsidRPr="00D62ECC">
        <w:rPr>
          <w:rFonts w:asciiTheme="minorHAnsi" w:hAnsiTheme="minorHAnsi" w:cstheme="minorHAnsi"/>
        </w:rPr>
        <w:t xml:space="preserve"> upowszechnienie wymiany elektronicznej dokumentacji medycznej oraz </w:t>
      </w:r>
      <w:r w:rsidRPr="00D75C79">
        <w:rPr>
          <w:rFonts w:asciiTheme="minorHAnsi" w:hAnsiTheme="minorHAnsi" w:cstheme="minorHAnsi"/>
          <w:i/>
          <w:iCs/>
        </w:rPr>
        <w:t>Narzędziu 27 Policy Paper</w:t>
      </w:r>
      <w:r w:rsidRPr="00D62ECC">
        <w:rPr>
          <w:rFonts w:asciiTheme="minorHAnsi" w:hAnsiTheme="minorHAnsi" w:cstheme="minorHAnsi"/>
        </w:rPr>
        <w:t xml:space="preserve"> </w:t>
      </w:r>
      <w:r w:rsidR="002C2173">
        <w:rPr>
          <w:rFonts w:asciiTheme="minorHAnsi" w:hAnsiTheme="minorHAnsi" w:cstheme="minorHAnsi"/>
        </w:rPr>
        <w:t>—</w:t>
      </w:r>
      <w:r w:rsidRPr="00D62ECC">
        <w:rPr>
          <w:rFonts w:asciiTheme="minorHAnsi" w:hAnsiTheme="minorHAnsi" w:cstheme="minorHAnsi"/>
        </w:rPr>
        <w:t xml:space="preserve"> upowszechnienie wykorzystania </w:t>
      </w:r>
      <w:proofErr w:type="spellStart"/>
      <w:r w:rsidRPr="00D62ECC">
        <w:rPr>
          <w:rFonts w:asciiTheme="minorHAnsi" w:hAnsiTheme="minorHAnsi" w:cstheme="minorHAnsi"/>
        </w:rPr>
        <w:t>telemedycyny</w:t>
      </w:r>
      <w:proofErr w:type="spellEnd"/>
      <w:r w:rsidR="00451133">
        <w:rPr>
          <w:rFonts w:asciiTheme="minorHAnsi" w:hAnsiTheme="minorHAnsi" w:cstheme="minorHAnsi"/>
        </w:rPr>
        <w:t xml:space="preserve"> </w:t>
      </w:r>
      <w:r w:rsidR="00451133" w:rsidRPr="00DE4AD6">
        <w:rPr>
          <w:rFonts w:asciiTheme="minorHAnsi" w:hAnsiTheme="minorHAnsi" w:cstheme="minorHAnsi"/>
        </w:rPr>
        <w:t>oraz</w:t>
      </w:r>
      <w:r w:rsidRPr="00D62ECC">
        <w:rPr>
          <w:rFonts w:asciiTheme="minorHAnsi" w:hAnsiTheme="minorHAnsi" w:cstheme="minorHAnsi"/>
        </w:rPr>
        <w:t xml:space="preserve"> nie przekraczają 10% wydatków kwalifikowalnych w</w:t>
      </w:r>
      <w:r w:rsidR="002C2173">
        <w:rPr>
          <w:rFonts w:asciiTheme="minorHAnsi" w:hAnsiTheme="minorHAnsi" w:cstheme="minorHAnsi"/>
        </w:rPr>
        <w:t> </w:t>
      </w:r>
      <w:r w:rsidRPr="00D62ECC">
        <w:rPr>
          <w:rFonts w:asciiTheme="minorHAnsi" w:hAnsiTheme="minorHAnsi" w:cstheme="minorHAnsi"/>
        </w:rPr>
        <w:t>projekcie.</w:t>
      </w:r>
    </w:p>
    <w:p w14:paraId="7D04EBCB" w14:textId="77777777" w:rsidR="00681C47" w:rsidRPr="00881294" w:rsidRDefault="00681C47" w:rsidP="00CF081B">
      <w:pPr>
        <w:pStyle w:val="Akapitzlist"/>
        <w:ind w:left="993" w:hanging="993"/>
        <w:rPr>
          <w:szCs w:val="24"/>
        </w:rPr>
      </w:pPr>
      <w:r w:rsidRPr="00881294">
        <w:rPr>
          <w:b/>
          <w:bCs/>
          <w:szCs w:val="24"/>
        </w:rPr>
        <w:t xml:space="preserve">Rozwój opieki koordynowanej. </w:t>
      </w:r>
    </w:p>
    <w:p w14:paraId="49F0F437" w14:textId="70AEB976" w:rsidR="00A8376F" w:rsidRPr="00F14AE5" w:rsidRDefault="00A8376F" w:rsidP="00CF081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cs="Calibri"/>
          <w:szCs w:val="24"/>
          <w:lang w:eastAsia="pl-PL"/>
        </w:rPr>
      </w:pPr>
      <w:r w:rsidRPr="00F14AE5">
        <w:rPr>
          <w:rFonts w:cs="Calibri"/>
          <w:szCs w:val="24"/>
          <w:lang w:eastAsia="pl-PL"/>
        </w:rPr>
        <w:t xml:space="preserve">Należy opisać </w:t>
      </w:r>
      <w:r w:rsidR="00433AF3" w:rsidRPr="00F14AE5">
        <w:rPr>
          <w:rFonts w:cs="Calibri"/>
          <w:szCs w:val="24"/>
          <w:lang w:eastAsia="pl-PL"/>
        </w:rPr>
        <w:t xml:space="preserve">model, ewentualnie załączyć jego </w:t>
      </w:r>
      <w:r w:rsidRPr="00F14AE5">
        <w:rPr>
          <w:rFonts w:cs="Calibri"/>
          <w:szCs w:val="24"/>
          <w:lang w:eastAsia="pl-PL"/>
        </w:rPr>
        <w:t>schemat,</w:t>
      </w:r>
      <w:r w:rsidR="005E65FA" w:rsidRPr="00F14AE5">
        <w:rPr>
          <w:rFonts w:cs="Calibri"/>
          <w:szCs w:val="24"/>
          <w:lang w:eastAsia="pl-PL"/>
        </w:rPr>
        <w:t xml:space="preserve"> a także wskazać koordynatora opieki koordynowanej</w:t>
      </w:r>
      <w:r w:rsidR="005E65FA" w:rsidRPr="00F14AE5">
        <w:rPr>
          <w:rStyle w:val="Odwoanieprzypisudolnego"/>
          <w:rFonts w:cs="Calibri"/>
          <w:szCs w:val="24"/>
          <w:lang w:eastAsia="pl-PL"/>
        </w:rPr>
        <w:footnoteReference w:id="31"/>
      </w:r>
      <w:r w:rsidR="005E65FA" w:rsidRPr="00F14AE5">
        <w:rPr>
          <w:rFonts w:cs="Calibri"/>
          <w:szCs w:val="24"/>
          <w:lang w:eastAsia="pl-PL"/>
        </w:rPr>
        <w:t>,</w:t>
      </w:r>
      <w:r w:rsidRPr="00F14AE5">
        <w:rPr>
          <w:rFonts w:cs="Calibri"/>
          <w:szCs w:val="24"/>
          <w:lang w:eastAsia="pl-PL"/>
        </w:rPr>
        <w:t xml:space="preserve"> którą świadczy lub w wyniku realizacji projektu będzie świadczył podmiot leczniczy w zakresie rehabilitacji ogólnoustrojowej dedykowanej chorobom układu kostno-mięśniowego.</w:t>
      </w:r>
    </w:p>
    <w:p w14:paraId="0C5CB0C8" w14:textId="3C8911CA" w:rsidR="00681C47" w:rsidRPr="00291047" w:rsidRDefault="00681C47" w:rsidP="00CF081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cs="Calibri"/>
          <w:strike/>
          <w:color w:val="000000"/>
          <w:szCs w:val="24"/>
          <w:lang w:eastAsia="pl-PL"/>
        </w:rPr>
      </w:pPr>
    </w:p>
    <w:p w14:paraId="5AF6A725" w14:textId="77777777" w:rsidR="00EE202E" w:rsidRPr="00881294" w:rsidRDefault="00EE202E" w:rsidP="00CF081B">
      <w:pPr>
        <w:pStyle w:val="Akapitzlist"/>
        <w:ind w:left="993" w:hanging="993"/>
        <w:rPr>
          <w:szCs w:val="24"/>
        </w:rPr>
      </w:pPr>
      <w:r w:rsidRPr="00881294">
        <w:rPr>
          <w:b/>
          <w:bCs/>
          <w:szCs w:val="24"/>
        </w:rPr>
        <w:lastRenderedPageBreak/>
        <w:t xml:space="preserve">Współpraca instytucjonalna </w:t>
      </w:r>
    </w:p>
    <w:p w14:paraId="14A91258" w14:textId="3397EF45" w:rsidR="00A90EA1" w:rsidRPr="00426BCB" w:rsidRDefault="0049250F" w:rsidP="00A90EA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szCs w:val="24"/>
          <w:lang w:eastAsia="pl-PL"/>
        </w:rPr>
      </w:pPr>
      <w:r w:rsidRPr="00426BCB">
        <w:rPr>
          <w:rFonts w:cs="Calibri"/>
          <w:szCs w:val="24"/>
          <w:lang w:eastAsia="pl-PL"/>
        </w:rPr>
        <w:t xml:space="preserve">Należy </w:t>
      </w:r>
      <w:r w:rsidR="00A90EA1" w:rsidRPr="00426BCB">
        <w:rPr>
          <w:rFonts w:cs="Calibri"/>
          <w:szCs w:val="24"/>
          <w:lang w:eastAsia="pl-PL"/>
        </w:rPr>
        <w:t>wskazać czy podmiot leczniczy podjął lub planuje podjąć w wyniku realizacji projektu współpracę z innymi podmiotami leczniczymi udzielającymi świadczeń opieki zdrowotnej finansowanych ze środków publicznych, w tym:</w:t>
      </w:r>
    </w:p>
    <w:p w14:paraId="35316C9F" w14:textId="0A2EE4BB" w:rsidR="00A90EA1" w:rsidRPr="00426BCB" w:rsidRDefault="00A90EA1" w:rsidP="00AB3D1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0" w:after="0"/>
        <w:rPr>
          <w:rFonts w:cs="Calibri"/>
          <w:szCs w:val="24"/>
          <w:lang w:eastAsia="pl-PL"/>
        </w:rPr>
      </w:pPr>
      <w:r w:rsidRPr="00426BCB">
        <w:rPr>
          <w:rFonts w:cs="Calibri"/>
          <w:szCs w:val="24"/>
          <w:lang w:eastAsia="pl-PL"/>
        </w:rPr>
        <w:t>opartą o umowę podwykonawstwa w ramach której Wnioskodawca jest zleceniobiorcą</w:t>
      </w:r>
      <w:r w:rsidRPr="00426BCB">
        <w:rPr>
          <w:rStyle w:val="Odwoanieprzypisudolnego"/>
          <w:rFonts w:cs="Calibri"/>
          <w:szCs w:val="24"/>
          <w:lang w:eastAsia="pl-PL"/>
        </w:rPr>
        <w:footnoteReference w:id="32"/>
      </w:r>
      <w:r w:rsidRPr="00426BCB">
        <w:rPr>
          <w:rFonts w:cs="Calibri"/>
          <w:b/>
          <w:bCs/>
          <w:szCs w:val="24"/>
          <w:lang w:eastAsia="pl-PL"/>
        </w:rPr>
        <w:t xml:space="preserve"> LUB </w:t>
      </w:r>
    </w:p>
    <w:p w14:paraId="4420E182" w14:textId="15B446AA" w:rsidR="00A90EA1" w:rsidRPr="00426BCB" w:rsidRDefault="00A90EA1" w:rsidP="00AB3D1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0" w:after="0"/>
        <w:rPr>
          <w:rFonts w:cs="Calibri"/>
          <w:szCs w:val="24"/>
          <w:lang w:eastAsia="pl-PL"/>
        </w:rPr>
      </w:pPr>
      <w:r w:rsidRPr="00426BCB">
        <w:rPr>
          <w:rFonts w:cs="Calibri"/>
          <w:szCs w:val="24"/>
          <w:lang w:eastAsia="pl-PL"/>
        </w:rPr>
        <w:t>związaną z zapewnieniem kompleksowości i ciągłości leczenia pacjentom objętym koordynowaną opieką w zakresie rehabilitacji ogólnoustrojowej dedykowanej chorobom układu kostno-mięśniowego.</w:t>
      </w:r>
    </w:p>
    <w:p w14:paraId="41804D30" w14:textId="55D114A7" w:rsidR="0049250F" w:rsidRPr="00426BCB" w:rsidRDefault="00A90EA1" w:rsidP="00CF081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szCs w:val="24"/>
          <w:lang w:eastAsia="pl-PL"/>
        </w:rPr>
      </w:pPr>
      <w:r w:rsidRPr="00426BCB">
        <w:rPr>
          <w:rFonts w:cs="Calibri"/>
          <w:szCs w:val="24"/>
          <w:lang w:eastAsia="pl-PL"/>
        </w:rPr>
        <w:t>Jednocześnie należy wskazać</w:t>
      </w:r>
      <w:r w:rsidR="007C064A" w:rsidRPr="00426BCB">
        <w:rPr>
          <w:rFonts w:cs="Calibri"/>
          <w:szCs w:val="24"/>
          <w:lang w:eastAsia="pl-PL"/>
        </w:rPr>
        <w:t>,</w:t>
      </w:r>
      <w:r w:rsidRPr="00426BCB">
        <w:rPr>
          <w:rFonts w:cs="Calibri"/>
          <w:szCs w:val="24"/>
          <w:lang w:eastAsia="pl-PL"/>
        </w:rPr>
        <w:t xml:space="preserve"> z którymi podmiotami leczniczymi Wnioskodawca nawiązał lub planuje nawiązać poszczególny zakres</w:t>
      </w:r>
      <w:r w:rsidR="007C064A" w:rsidRPr="00426BCB">
        <w:rPr>
          <w:rFonts w:cs="Calibri"/>
          <w:szCs w:val="24"/>
          <w:lang w:eastAsia="pl-PL"/>
        </w:rPr>
        <w:t>y</w:t>
      </w:r>
      <w:r w:rsidRPr="00426BCB">
        <w:rPr>
          <w:rFonts w:cs="Calibri"/>
          <w:szCs w:val="24"/>
          <w:lang w:eastAsia="pl-PL"/>
        </w:rPr>
        <w:t xml:space="preserve"> współpracy.</w:t>
      </w:r>
    </w:p>
    <w:p w14:paraId="30171FB3" w14:textId="77777777" w:rsidR="00B860CB" w:rsidRPr="00881294" w:rsidRDefault="00B860CB" w:rsidP="00CF081B">
      <w:pPr>
        <w:pStyle w:val="Akapitzlist"/>
        <w:ind w:left="993" w:hanging="993"/>
        <w:rPr>
          <w:b/>
        </w:rPr>
      </w:pPr>
      <w:r w:rsidRPr="00881294">
        <w:rPr>
          <w:b/>
        </w:rPr>
        <w:t>Program restrukturyzacji podmiotu leczniczego.</w:t>
      </w:r>
    </w:p>
    <w:p w14:paraId="66ACCB58" w14:textId="1C47EAB9" w:rsidR="00A2607A" w:rsidRPr="00426BCB" w:rsidRDefault="00A2607A" w:rsidP="00CF081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szCs w:val="24"/>
          <w:lang w:eastAsia="pl-PL"/>
        </w:rPr>
      </w:pPr>
      <w:r w:rsidRPr="00426BCB">
        <w:rPr>
          <w:rFonts w:cs="Calibri"/>
          <w:szCs w:val="24"/>
          <w:lang w:eastAsia="pl-PL"/>
        </w:rPr>
        <w:t xml:space="preserve">Należy wskazać czy podmiot leczniczy </w:t>
      </w:r>
      <w:r w:rsidR="00BC4B2D" w:rsidRPr="00426BCB">
        <w:rPr>
          <w:rFonts w:cs="Calibri"/>
          <w:szCs w:val="24"/>
          <w:lang w:eastAsia="pl-PL"/>
        </w:rPr>
        <w:t xml:space="preserve">posiada zatwierdzony przez podmiot tworzący </w:t>
      </w:r>
      <w:r w:rsidR="004C63CA" w:rsidRPr="00426BCB">
        <w:rPr>
          <w:rFonts w:cs="Calibri"/>
          <w:szCs w:val="24"/>
          <w:lang w:eastAsia="pl-PL"/>
        </w:rPr>
        <w:t>program restrukturyzacji</w:t>
      </w:r>
      <w:r w:rsidR="00275785" w:rsidRPr="00426BCB">
        <w:rPr>
          <w:rStyle w:val="Odwoanieprzypisudolnego"/>
          <w:rFonts w:cs="Calibri"/>
          <w:szCs w:val="24"/>
          <w:lang w:eastAsia="pl-PL"/>
        </w:rPr>
        <w:footnoteReference w:id="33"/>
      </w:r>
      <w:r w:rsidR="006F546A" w:rsidRPr="00426BCB">
        <w:rPr>
          <w:rFonts w:cs="Calibri"/>
          <w:szCs w:val="24"/>
          <w:lang w:eastAsia="pl-PL"/>
        </w:rPr>
        <w:t>, który m.in.:</w:t>
      </w:r>
    </w:p>
    <w:p w14:paraId="0E0A0E6E" w14:textId="42B1857B" w:rsidR="00177188" w:rsidRPr="00426BCB" w:rsidRDefault="00177188" w:rsidP="00177188">
      <w:pPr>
        <w:pStyle w:val="Tekstprzypisudolnego"/>
        <w:numPr>
          <w:ilvl w:val="0"/>
          <w:numId w:val="54"/>
        </w:numPr>
        <w:jc w:val="both"/>
        <w:rPr>
          <w:rFonts w:cs="Calibri"/>
          <w:sz w:val="24"/>
          <w:szCs w:val="24"/>
        </w:rPr>
      </w:pPr>
      <w:r w:rsidRPr="00426BCB">
        <w:rPr>
          <w:rFonts w:cs="Calibri"/>
          <w:sz w:val="24"/>
          <w:szCs w:val="24"/>
        </w:rPr>
        <w:t>odnos</w:t>
      </w:r>
      <w:r w:rsidR="006F546A" w:rsidRPr="00426BCB">
        <w:rPr>
          <w:rFonts w:cs="Calibri"/>
          <w:sz w:val="24"/>
          <w:szCs w:val="24"/>
        </w:rPr>
        <w:t>i</w:t>
      </w:r>
      <w:r w:rsidRPr="00426BCB">
        <w:rPr>
          <w:rFonts w:cs="Calibri"/>
          <w:sz w:val="24"/>
          <w:szCs w:val="24"/>
        </w:rPr>
        <w:t xml:space="preserve"> się do przedmiotu projektu,</w:t>
      </w:r>
    </w:p>
    <w:p w14:paraId="31E3DFB6" w14:textId="7BF9E9CF" w:rsidR="00177188" w:rsidRPr="00426BCB" w:rsidRDefault="00177188" w:rsidP="00A658F9">
      <w:pPr>
        <w:pStyle w:val="Tekstprzypisudolnego"/>
        <w:numPr>
          <w:ilvl w:val="0"/>
          <w:numId w:val="54"/>
        </w:numPr>
        <w:jc w:val="both"/>
        <w:rPr>
          <w:rFonts w:cs="Calibri"/>
          <w:sz w:val="24"/>
          <w:szCs w:val="24"/>
        </w:rPr>
      </w:pPr>
      <w:r w:rsidRPr="00426BCB">
        <w:rPr>
          <w:rFonts w:cs="Calibri"/>
          <w:bCs/>
          <w:sz w:val="24"/>
          <w:szCs w:val="24"/>
        </w:rPr>
        <w:t>zawiera dane wynikające z</w:t>
      </w:r>
      <w:r w:rsidRPr="00426BCB">
        <w:rPr>
          <w:rFonts w:cs="Calibri"/>
          <w:sz w:val="24"/>
          <w:szCs w:val="24"/>
        </w:rPr>
        <w:t xml:space="preserve"> </w:t>
      </w:r>
      <w:r w:rsidR="006F546A" w:rsidRPr="00426BCB">
        <w:rPr>
          <w:rFonts w:cs="Calibri"/>
          <w:sz w:val="24"/>
          <w:szCs w:val="24"/>
        </w:rPr>
        <w:t>M</w:t>
      </w:r>
      <w:r w:rsidRPr="00426BCB">
        <w:rPr>
          <w:rFonts w:cs="Calibri"/>
          <w:sz w:val="24"/>
          <w:szCs w:val="24"/>
        </w:rPr>
        <w:t xml:space="preserve">apy potrzeb zdrowotnych </w:t>
      </w:r>
      <w:r w:rsidR="006F546A" w:rsidRPr="00426BCB">
        <w:rPr>
          <w:rFonts w:cs="Calibri"/>
          <w:sz w:val="24"/>
          <w:szCs w:val="24"/>
        </w:rPr>
        <w:t xml:space="preserve">w zakresie chorób układu kostno – mięśniowego dla województwa świętokrzyskiego </w:t>
      </w:r>
      <w:r w:rsidRPr="00426BCB">
        <w:rPr>
          <w:rFonts w:cs="Calibri"/>
          <w:sz w:val="24"/>
          <w:szCs w:val="24"/>
        </w:rPr>
        <w:t>wskazujące na potrzebę realizacji projektu (np. poprzez odwołanie się do właściw</w:t>
      </w:r>
      <w:r w:rsidR="006F546A" w:rsidRPr="00426BCB">
        <w:rPr>
          <w:rFonts w:cs="Calibri"/>
          <w:sz w:val="24"/>
          <w:szCs w:val="24"/>
        </w:rPr>
        <w:t>ych</w:t>
      </w:r>
      <w:r w:rsidRPr="00426BCB">
        <w:rPr>
          <w:rFonts w:cs="Calibri"/>
          <w:sz w:val="24"/>
          <w:szCs w:val="24"/>
        </w:rPr>
        <w:t xml:space="preserve"> stron mapy)</w:t>
      </w:r>
      <w:r w:rsidR="006F546A" w:rsidRPr="00426BCB">
        <w:rPr>
          <w:rFonts w:cs="Calibri"/>
          <w:sz w:val="24"/>
          <w:szCs w:val="24"/>
        </w:rPr>
        <w:t>.</w:t>
      </w:r>
    </w:p>
    <w:p w14:paraId="63E699AC" w14:textId="77777777" w:rsidR="00831B09" w:rsidRPr="00831B09" w:rsidRDefault="00831B09" w:rsidP="00CF081B">
      <w:pPr>
        <w:pStyle w:val="Akapitzlist"/>
        <w:ind w:left="993" w:hanging="993"/>
        <w:rPr>
          <w:rFonts w:ascii="Arial" w:hAnsi="Arial" w:cs="Arial"/>
          <w:b/>
          <w:bCs/>
          <w:sz w:val="20"/>
          <w:szCs w:val="20"/>
          <w:lang w:eastAsia="pl-PL"/>
        </w:rPr>
      </w:pPr>
      <w:r w:rsidRPr="00831B09">
        <w:rPr>
          <w:b/>
          <w:bCs/>
          <w:szCs w:val="24"/>
        </w:rPr>
        <w:t xml:space="preserve">Działalność stacjonarnej rehabilitacji ogólnoustrojowej </w:t>
      </w:r>
    </w:p>
    <w:p w14:paraId="1E8D1992" w14:textId="7206A64F" w:rsidR="00741E98" w:rsidRPr="00C14237" w:rsidRDefault="00B15024" w:rsidP="00741E98">
      <w:pPr>
        <w:jc w:val="both"/>
        <w:rPr>
          <w:rFonts w:cs="Calibri"/>
          <w:b/>
          <w:bCs/>
          <w:sz w:val="22"/>
          <w:lang w:eastAsia="pl-PL"/>
        </w:rPr>
      </w:pPr>
      <w:r w:rsidRPr="00C14237">
        <w:rPr>
          <w:rFonts w:cs="Calibri"/>
          <w:b/>
          <w:bCs/>
          <w:sz w:val="22"/>
        </w:rPr>
        <w:t>Zgodnie z d</w:t>
      </w:r>
      <w:r w:rsidR="00741E98" w:rsidRPr="00C14237">
        <w:rPr>
          <w:rFonts w:cs="Calibri"/>
          <w:b/>
          <w:bCs/>
          <w:sz w:val="22"/>
        </w:rPr>
        <w:t>an</w:t>
      </w:r>
      <w:r w:rsidRPr="00C14237">
        <w:rPr>
          <w:rFonts w:cs="Calibri"/>
          <w:b/>
          <w:bCs/>
          <w:sz w:val="22"/>
        </w:rPr>
        <w:t>ymi uzyskanymi ze</w:t>
      </w:r>
      <w:r w:rsidR="00741E98" w:rsidRPr="00C14237">
        <w:rPr>
          <w:rFonts w:cs="Calibri"/>
          <w:b/>
          <w:bCs/>
          <w:sz w:val="22"/>
        </w:rPr>
        <w:t xml:space="preserve"> Świętokrzyskiego Oddziału Wojewódzkiego Narodowego Funduszu Zdrowia </w:t>
      </w:r>
      <w:r w:rsidRPr="00C14237">
        <w:rPr>
          <w:rFonts w:cs="Calibri"/>
          <w:b/>
          <w:bCs/>
          <w:sz w:val="22"/>
        </w:rPr>
        <w:t xml:space="preserve">w </w:t>
      </w:r>
      <w:r w:rsidR="00741E98" w:rsidRPr="00C14237">
        <w:rPr>
          <w:rFonts w:cs="Calibri"/>
          <w:b/>
          <w:bCs/>
          <w:sz w:val="22"/>
        </w:rPr>
        <w:t>Kielcach w podmiotach leczniczych, mających swoją siedzibę na terenie województwa świętokrzyskiego</w:t>
      </w:r>
      <w:r w:rsidRPr="00C14237">
        <w:rPr>
          <w:rFonts w:cs="Calibri"/>
          <w:b/>
          <w:bCs/>
          <w:sz w:val="22"/>
        </w:rPr>
        <w:t>, w stacjonarnych oddziałach rehabilitacji ogólnoustrojowej w 2018 roku leczonych było</w:t>
      </w:r>
      <w:r w:rsidRPr="00C14237">
        <w:rPr>
          <w:rStyle w:val="Odwoanieprzypisudolnego"/>
          <w:rFonts w:cs="Calibri"/>
          <w:b/>
          <w:bCs/>
          <w:sz w:val="22"/>
        </w:rPr>
        <w:footnoteReference w:id="34"/>
      </w:r>
      <w:r w:rsidRPr="00C14237">
        <w:rPr>
          <w:rFonts w:cs="Calibri"/>
          <w:b/>
          <w:bCs/>
          <w:sz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568"/>
        <w:gridCol w:w="1715"/>
        <w:gridCol w:w="779"/>
        <w:gridCol w:w="815"/>
        <w:gridCol w:w="679"/>
        <w:gridCol w:w="873"/>
      </w:tblGrid>
      <w:tr w:rsidR="00741E98" w:rsidRPr="00C14237" w14:paraId="1CCF6F65" w14:textId="77777777" w:rsidTr="00B15024">
        <w:trPr>
          <w:trHeight w:val="84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A865" w14:textId="77777777" w:rsidR="00741E98" w:rsidRPr="00C14237" w:rsidRDefault="00741E9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E090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 xml:space="preserve">nazwa i adres podmiotu leczniczego </w:t>
            </w:r>
          </w:p>
          <w:p w14:paraId="0745E529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w strukturze organizacyjnej którego funkcjonuje:</w:t>
            </w:r>
          </w:p>
          <w:p w14:paraId="1F74F824" w14:textId="77777777" w:rsidR="00741E98" w:rsidRPr="00C14237" w:rsidRDefault="00741E98" w:rsidP="00741E98">
            <w:pPr>
              <w:pStyle w:val="Akapitzlist"/>
              <w:numPr>
                <w:ilvl w:val="0"/>
                <w:numId w:val="52"/>
              </w:numPr>
              <w:spacing w:before="0" w:after="0"/>
              <w:contextualSpacing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oddział rehabilitacji (kod 4300)</w:t>
            </w:r>
          </w:p>
          <w:p w14:paraId="656030ED" w14:textId="77777777" w:rsidR="00741E98" w:rsidRPr="00C14237" w:rsidRDefault="00741E98" w:rsidP="00B15024">
            <w:pPr>
              <w:pStyle w:val="Akapitzlist"/>
              <w:numPr>
                <w:ilvl w:val="0"/>
                <w:numId w:val="52"/>
              </w:numPr>
              <w:spacing w:before="0" w:after="0" w:line="240" w:lineRule="auto"/>
              <w:ind w:left="357" w:hanging="357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oddział rehabilitacji narządu ruchu (kod 4302)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E89D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miejsce udzielania świadczeń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93D2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kod oddziału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AF6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leczeni kod grupy:</w:t>
            </w:r>
          </w:p>
          <w:p w14:paraId="61494979" w14:textId="77777777" w:rsidR="00741E98" w:rsidRPr="00C14237" w:rsidRDefault="00741E98" w:rsidP="00B1502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ROO01</w:t>
            </w:r>
          </w:p>
          <w:p w14:paraId="53947EFF" w14:textId="77777777" w:rsidR="00741E98" w:rsidRPr="00C14237" w:rsidRDefault="00741E98" w:rsidP="00B1502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ROO02</w:t>
            </w:r>
          </w:p>
          <w:p w14:paraId="02D8E6E4" w14:textId="77777777" w:rsidR="00741E98" w:rsidRPr="00C14237" w:rsidRDefault="00741E98" w:rsidP="00B1502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ROZS01</w:t>
            </w:r>
          </w:p>
          <w:p w14:paraId="561E5BAB" w14:textId="77777777" w:rsidR="00741E98" w:rsidRPr="00C14237" w:rsidRDefault="00741E98" w:rsidP="00B1502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ROZS02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9AB8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liczba leczonych ogółem</w:t>
            </w:r>
          </w:p>
        </w:tc>
      </w:tr>
      <w:tr w:rsidR="00741E98" w:rsidRPr="00C14237" w14:paraId="47628F4A" w14:textId="77777777" w:rsidTr="00B15024">
        <w:trPr>
          <w:trHeight w:val="186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3468" w14:textId="77777777" w:rsidR="00741E98" w:rsidRPr="00C14237" w:rsidRDefault="00741E9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54E5" w14:textId="77777777" w:rsidR="00741E98" w:rsidRPr="00C14237" w:rsidRDefault="00741E9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AA3D" w14:textId="77777777" w:rsidR="00741E98" w:rsidRPr="00C14237" w:rsidRDefault="00741E9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9FDA" w14:textId="77777777" w:rsidR="00741E98" w:rsidRPr="00C14237" w:rsidRDefault="00741E9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692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9DA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237">
              <w:rPr>
                <w:rFonts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747B" w14:textId="77777777" w:rsidR="00741E98" w:rsidRPr="00C14237" w:rsidRDefault="00741E9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41E98" w:rsidRPr="00C14237" w14:paraId="179945D9" w14:textId="77777777" w:rsidTr="00B15024">
        <w:trPr>
          <w:trHeight w:val="5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E66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7D3A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231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7D8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805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845B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6=5/7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570D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7</w:t>
            </w:r>
          </w:p>
        </w:tc>
      </w:tr>
      <w:tr w:rsidR="00741E98" w:rsidRPr="00C14237" w14:paraId="21AF1805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B2E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A23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21 Wojskowy Szpital Uzdrowiskowo-Rehabilitacyjny Samodzielny Publiczny Zakład Opieki Zdrowotnej -  Rzewuskiego 8, 28-100 Busko-Zdrój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C63D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10144 - Rzewuskiego 8, 28-100 Busko-Zdrój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1716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6375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1 359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6FB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61,33%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01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2 216</w:t>
            </w:r>
          </w:p>
        </w:tc>
      </w:tr>
      <w:tr w:rsidR="00741E98" w:rsidRPr="00C14237" w14:paraId="11B2A633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ABA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D348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Caritas Diecezji Kieleckiej - Czarnowska 2a, 26-065 Piekoszów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1F3C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10665 - Czarnowska 2a, 26-065 Piekoszów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5D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2218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B3E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9,97%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62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361</w:t>
            </w:r>
          </w:p>
        </w:tc>
      </w:tr>
      <w:tr w:rsidR="00741E98" w:rsidRPr="00C14237" w14:paraId="15DBC179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BF8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79F0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Federacja Niezależnych Samorządnych Związków Zawodowych Przemysłu Lekkiego w Łodzi - </w:t>
            </w:r>
            <w:proofErr w:type="spellStart"/>
            <w:r w:rsidRPr="00C14237">
              <w:rPr>
                <w:rFonts w:cs="Calibri"/>
                <w:sz w:val="18"/>
                <w:szCs w:val="18"/>
              </w:rPr>
              <w:t>Rokosza</w:t>
            </w:r>
            <w:proofErr w:type="spellEnd"/>
            <w:r w:rsidRPr="00C14237">
              <w:rPr>
                <w:rFonts w:cs="Calibri"/>
                <w:sz w:val="18"/>
                <w:szCs w:val="18"/>
              </w:rPr>
              <w:t xml:space="preserve"> 1, 28-100 Busko-Zdrój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AD5F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7572 - </w:t>
            </w:r>
            <w:proofErr w:type="spellStart"/>
            <w:r w:rsidRPr="00C14237">
              <w:rPr>
                <w:rFonts w:cs="Calibri"/>
                <w:sz w:val="18"/>
                <w:szCs w:val="18"/>
              </w:rPr>
              <w:t>Rokosza</w:t>
            </w:r>
            <w:proofErr w:type="spellEnd"/>
            <w:r w:rsidRPr="00C14237">
              <w:rPr>
                <w:rFonts w:cs="Calibri"/>
                <w:sz w:val="18"/>
                <w:szCs w:val="18"/>
              </w:rPr>
              <w:t xml:space="preserve"> 1, 28-100 Busko-Zdrój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16C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1D6B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5EE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5,90%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CE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458</w:t>
            </w:r>
          </w:p>
        </w:tc>
      </w:tr>
      <w:tr w:rsidR="00741E98" w:rsidRPr="00C14237" w14:paraId="53676FDF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FEF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6865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Powiatowy Zakład Opieki Zdrowotnej - Radomska 70, 27-200 Starachowice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CC4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26101 - Radomska 70, 27-200 Starachowice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1A2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6305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F04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33,06%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8C6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372</w:t>
            </w:r>
          </w:p>
        </w:tc>
      </w:tr>
      <w:tr w:rsidR="00741E98" w:rsidRPr="00C14237" w14:paraId="6D7BFBFC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A3D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32E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Szpital Specjalistyczny Ducha Świętego w Sandomierzu - </w:t>
            </w:r>
            <w:proofErr w:type="spellStart"/>
            <w:r w:rsidRPr="00C14237">
              <w:rPr>
                <w:rFonts w:cs="Calibri"/>
                <w:sz w:val="18"/>
                <w:szCs w:val="18"/>
              </w:rPr>
              <w:t>Schinzla</w:t>
            </w:r>
            <w:proofErr w:type="spellEnd"/>
            <w:r w:rsidRPr="00C14237">
              <w:rPr>
                <w:rFonts w:cs="Calibri"/>
                <w:sz w:val="18"/>
                <w:szCs w:val="18"/>
              </w:rPr>
              <w:t xml:space="preserve"> 13, 27-600 Sandomierz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E78B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 xml:space="preserve">10112 - </w:t>
            </w:r>
            <w:proofErr w:type="spellStart"/>
            <w:r w:rsidRPr="00C14237">
              <w:rPr>
                <w:rFonts w:cs="Calibri"/>
                <w:sz w:val="18"/>
                <w:szCs w:val="18"/>
              </w:rPr>
              <w:t>Schinzla</w:t>
            </w:r>
            <w:proofErr w:type="spellEnd"/>
            <w:r w:rsidRPr="00C14237">
              <w:rPr>
                <w:rFonts w:cs="Calibri"/>
                <w:sz w:val="18"/>
                <w:szCs w:val="18"/>
              </w:rPr>
              <w:t xml:space="preserve"> 13, 27-600 Sandomierz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A34E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98B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72DB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49,78%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540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223</w:t>
            </w:r>
          </w:p>
        </w:tc>
      </w:tr>
      <w:tr w:rsidR="00741E98" w:rsidRPr="00C14237" w14:paraId="735C7EAE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D42E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B643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Świętokrzyskie Centrum Rehabilitacji w Czarnieckiej Górze - Czarniecka Góra 43, 26-220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021B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8917 - Czarniecka Góra 43, 26-220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08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CF1B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64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85,91%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C0E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958</w:t>
            </w:r>
          </w:p>
        </w:tc>
      </w:tr>
      <w:tr w:rsidR="00741E98" w:rsidRPr="00C14237" w14:paraId="72D754CB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DE95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042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Świętokrzyskie Centrum Rehabilitacji w Czarnieckiej Górze - Czarniecka Góra 43, 26-220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0D8F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8918 - Czarniecka Góra 43, 26-220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E8A9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0B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CA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29,14%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E41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1 112</w:t>
            </w:r>
          </w:p>
        </w:tc>
      </w:tr>
      <w:tr w:rsidR="00741E98" w:rsidRPr="00C14237" w14:paraId="1DB05291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02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8A3D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Wojewódzki Szpital Zespolony w Kielcach - Grunwaldzka 45, 25-736 Kielce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12BC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20439 - Kościuszki 3, 25-310 Kielce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A890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63B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7B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28,14%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66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629</w:t>
            </w:r>
          </w:p>
        </w:tc>
      </w:tr>
      <w:tr w:rsidR="00741E98" w:rsidRPr="00C14237" w14:paraId="314B044F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4CE9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E04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Zespół Opieki Zdrowotnej w Ostrowcu Świętokrzyskim  - Szymanowskiego 11, 27-400 Ostrowiec Świętokrzyski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236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8367 - Szymanowskiego 11, 27-400 Ostrowiec Świętokrzyski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9487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E0C1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FA32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56,25%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1ED8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208</w:t>
            </w:r>
          </w:p>
        </w:tc>
      </w:tr>
      <w:tr w:rsidR="00741E98" w:rsidRPr="00C14237" w14:paraId="52AD6A27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1B40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3D8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Zespół Opieki Zdrowotnej w Skarżysku Kamiennej Szpital Powiatowy im. Marii Skłodowskiej-Curie - szpitalna 1, 26-110 Skarżysko-Kamienna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D4C9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8347 - Ekonomii 4, 26-110 Skarżysko-Kamienna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926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579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B870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37,06%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8671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402</w:t>
            </w:r>
          </w:p>
        </w:tc>
      </w:tr>
      <w:tr w:rsidR="00741E98" w:rsidRPr="00C14237" w14:paraId="1052A064" w14:textId="77777777" w:rsidTr="00B15024">
        <w:trPr>
          <w:trHeight w:val="5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07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87A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Zespół Opieki Zdrowotnej we Włoszczowie - Żeromskiego 28, 29-100 Włoszczowa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6B94" w14:textId="77777777" w:rsidR="00741E98" w:rsidRPr="00C14237" w:rsidRDefault="00741E98" w:rsidP="00B15024">
            <w:pPr>
              <w:spacing w:before="0" w:beforeAutospacing="0" w:after="0" w:afterAutospacing="0" w:line="240" w:lineRule="auto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8814 - Żeromskiego 28, 29-100 Włoszczowa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161C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4302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80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2A1F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21,64%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DF13" w14:textId="77777777" w:rsidR="00741E98" w:rsidRPr="00C14237" w:rsidRDefault="00741E98" w:rsidP="00B15024">
            <w:pPr>
              <w:spacing w:before="0" w:beforeAutospacing="0" w:after="0" w:afterAutospacing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14237">
              <w:rPr>
                <w:rFonts w:cs="Calibri"/>
                <w:sz w:val="18"/>
                <w:szCs w:val="18"/>
              </w:rPr>
              <w:t>402</w:t>
            </w:r>
          </w:p>
        </w:tc>
      </w:tr>
    </w:tbl>
    <w:p w14:paraId="5A4C8BAA" w14:textId="77777777" w:rsidR="00B860CB" w:rsidRPr="00707F67" w:rsidRDefault="00B860CB" w:rsidP="00C14237">
      <w:pPr>
        <w:pStyle w:val="Akapitzlist"/>
        <w:spacing w:line="240" w:lineRule="auto"/>
        <w:ind w:left="993" w:hanging="993"/>
        <w:rPr>
          <w:rFonts w:ascii="Arial" w:hAnsi="Arial" w:cs="Arial"/>
          <w:b/>
          <w:bCs/>
          <w:szCs w:val="24"/>
          <w:lang w:eastAsia="pl-PL"/>
        </w:rPr>
      </w:pPr>
      <w:r w:rsidRPr="00707F67">
        <w:rPr>
          <w:b/>
          <w:bCs/>
          <w:szCs w:val="24"/>
        </w:rPr>
        <w:t xml:space="preserve">Obłożenie łóżek </w:t>
      </w:r>
    </w:p>
    <w:p w14:paraId="438614BF" w14:textId="7428F202" w:rsidR="00CB0857" w:rsidRPr="00C14237" w:rsidRDefault="00CB0857" w:rsidP="00C14237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4"/>
          <w:lang w:eastAsia="pl-PL"/>
        </w:rPr>
      </w:pPr>
      <w:r w:rsidRPr="00C14237">
        <w:rPr>
          <w:rFonts w:cs="Calibri"/>
          <w:szCs w:val="24"/>
          <w:lang w:eastAsia="pl-PL"/>
        </w:rPr>
        <w:t xml:space="preserve">Należy przedstawić </w:t>
      </w:r>
      <w:r w:rsidR="005A6713" w:rsidRPr="00C14237">
        <w:rPr>
          <w:rFonts w:cs="Calibri"/>
          <w:szCs w:val="24"/>
          <w:lang w:eastAsia="pl-PL"/>
        </w:rPr>
        <w:t xml:space="preserve">wartość </w:t>
      </w:r>
      <w:r w:rsidRPr="00C14237">
        <w:rPr>
          <w:rFonts w:cs="Calibri"/>
          <w:szCs w:val="24"/>
          <w:lang w:eastAsia="pl-PL"/>
        </w:rPr>
        <w:t>wskaźnik</w:t>
      </w:r>
      <w:r w:rsidR="005A6713" w:rsidRPr="00C14237">
        <w:rPr>
          <w:rFonts w:cs="Calibri"/>
          <w:szCs w:val="24"/>
          <w:lang w:eastAsia="pl-PL"/>
        </w:rPr>
        <w:t>a</w:t>
      </w:r>
      <w:r w:rsidRPr="00C14237">
        <w:rPr>
          <w:rFonts w:cs="Calibri"/>
          <w:szCs w:val="24"/>
          <w:lang w:eastAsia="pl-PL"/>
        </w:rPr>
        <w:t xml:space="preserve"> obłożenia standardowego łóżek (%)</w:t>
      </w:r>
      <w:r w:rsidRPr="00C14237">
        <w:rPr>
          <w:rStyle w:val="Odwoanieprzypisudolnego"/>
          <w:rFonts w:cs="Calibri"/>
          <w:szCs w:val="24"/>
          <w:lang w:eastAsia="pl-PL"/>
        </w:rPr>
        <w:footnoteReference w:id="35"/>
      </w:r>
      <w:r w:rsidR="003A4FAB" w:rsidRPr="00C14237">
        <w:rPr>
          <w:rFonts w:cs="Calibri"/>
          <w:szCs w:val="24"/>
          <w:lang w:eastAsia="pl-PL"/>
        </w:rPr>
        <w:t xml:space="preserve"> </w:t>
      </w:r>
      <w:r w:rsidR="00C14237">
        <w:rPr>
          <w:rFonts w:cs="Calibri"/>
          <w:szCs w:val="24"/>
          <w:lang w:eastAsia="pl-PL"/>
        </w:rPr>
        <w:br/>
      </w:r>
      <w:r w:rsidRPr="00C14237">
        <w:rPr>
          <w:rFonts w:cs="Calibri"/>
          <w:szCs w:val="24"/>
          <w:lang w:eastAsia="pl-PL"/>
        </w:rPr>
        <w:t>w oddziałach rehabilitacji ogólnoustrojowej dedykowanej chorobom układu kostno-mięśniowego (kod: 4300; 4302)</w:t>
      </w:r>
      <w:r w:rsidR="005A6713" w:rsidRPr="00C14237">
        <w:rPr>
          <w:rFonts w:cs="Calibri"/>
          <w:szCs w:val="24"/>
          <w:lang w:eastAsia="pl-PL"/>
        </w:rPr>
        <w:t>,</w:t>
      </w:r>
      <w:r w:rsidRPr="00C14237">
        <w:rPr>
          <w:rFonts w:cs="Calibri"/>
          <w:szCs w:val="24"/>
          <w:lang w:eastAsia="pl-PL"/>
        </w:rPr>
        <w:t xml:space="preserve"> </w:t>
      </w:r>
      <w:r w:rsidR="003A4FAB" w:rsidRPr="00C14237">
        <w:rPr>
          <w:rFonts w:cs="Calibri"/>
          <w:szCs w:val="24"/>
          <w:lang w:eastAsia="pl-PL"/>
        </w:rPr>
        <w:t xml:space="preserve">który został osiągnięty </w:t>
      </w:r>
      <w:r w:rsidRPr="00C14237">
        <w:rPr>
          <w:rFonts w:cs="Calibri"/>
          <w:szCs w:val="24"/>
          <w:lang w:eastAsia="pl-PL"/>
        </w:rPr>
        <w:t>w 2018 roku tj. ostatnim roku sprawozdawczym poprzedzającym rok złożenia wniosku o dofinansowanie.</w:t>
      </w:r>
    </w:p>
    <w:p w14:paraId="28AFF0A4" w14:textId="77777777" w:rsidR="003F2EF8" w:rsidRPr="00881294" w:rsidRDefault="003F2EF8" w:rsidP="00CF081B">
      <w:pPr>
        <w:pStyle w:val="Akapitzlist"/>
        <w:tabs>
          <w:tab w:val="left" w:pos="993"/>
        </w:tabs>
        <w:ind w:left="0" w:firstLine="0"/>
        <w:jc w:val="left"/>
        <w:rPr>
          <w:rFonts w:ascii="Arial" w:hAnsi="Arial" w:cs="Arial"/>
          <w:b/>
          <w:bCs/>
          <w:szCs w:val="24"/>
          <w:lang w:eastAsia="pl-PL"/>
        </w:rPr>
      </w:pPr>
      <w:r w:rsidRPr="00E7229B">
        <w:rPr>
          <w:rFonts w:cs="Calibri"/>
          <w:b/>
          <w:bCs/>
          <w:color w:val="000000"/>
          <w:szCs w:val="24"/>
          <w:lang w:eastAsia="pl-PL"/>
        </w:rPr>
        <w:t xml:space="preserve">Efektywność finansowa podmiotu leczniczego </w:t>
      </w:r>
    </w:p>
    <w:p w14:paraId="694D7099" w14:textId="705EF881" w:rsidR="005A6713" w:rsidRPr="00C14237" w:rsidRDefault="005A6713" w:rsidP="00A26BB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Cs w:val="24"/>
          <w:lang w:eastAsia="pl-PL"/>
        </w:rPr>
      </w:pPr>
      <w:r w:rsidRPr="00C14237">
        <w:rPr>
          <w:rFonts w:asciiTheme="minorHAnsi" w:hAnsiTheme="minorHAnsi" w:cstheme="minorHAnsi"/>
          <w:szCs w:val="24"/>
          <w:lang w:eastAsia="pl-PL"/>
        </w:rPr>
        <w:lastRenderedPageBreak/>
        <w:t>Należy przedstawić wartość wskaźników</w:t>
      </w:r>
      <w:r w:rsidRPr="00C14237">
        <w:rPr>
          <w:rStyle w:val="Odwoanieprzypisudolnego"/>
          <w:rFonts w:asciiTheme="minorHAnsi" w:hAnsiTheme="minorHAnsi" w:cstheme="minorHAnsi"/>
          <w:szCs w:val="24"/>
          <w:lang w:eastAsia="pl-PL"/>
        </w:rPr>
        <w:footnoteReference w:id="36"/>
      </w:r>
      <w:r w:rsidRPr="00C14237">
        <w:rPr>
          <w:rFonts w:asciiTheme="minorHAnsi" w:hAnsiTheme="minorHAnsi" w:cstheme="minorHAnsi"/>
          <w:szCs w:val="24"/>
          <w:lang w:eastAsia="pl-PL"/>
        </w:rPr>
        <w:t>:</w:t>
      </w:r>
    </w:p>
    <w:p w14:paraId="458B8FBA" w14:textId="1BAA1D56" w:rsidR="005A6713" w:rsidRPr="00C14237" w:rsidRDefault="005A6713" w:rsidP="005A671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0"/>
        <w:rPr>
          <w:rFonts w:cs="Calibri"/>
          <w:szCs w:val="24"/>
          <w:lang w:eastAsia="pl-PL"/>
        </w:rPr>
      </w:pPr>
      <w:r w:rsidRPr="00C14237">
        <w:rPr>
          <w:rFonts w:cs="Calibri"/>
          <w:szCs w:val="24"/>
          <w:lang w:eastAsia="pl-PL"/>
        </w:rPr>
        <w:t>zyskowności netto (%),</w:t>
      </w:r>
    </w:p>
    <w:p w14:paraId="1615A90A" w14:textId="33E259CF" w:rsidR="005A6713" w:rsidRPr="00C14237" w:rsidRDefault="005A6713" w:rsidP="005A671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0"/>
        <w:rPr>
          <w:rFonts w:cs="Calibri"/>
          <w:szCs w:val="24"/>
          <w:lang w:eastAsia="pl-PL"/>
        </w:rPr>
      </w:pPr>
      <w:r w:rsidRPr="00C14237">
        <w:rPr>
          <w:rFonts w:cs="Calibri"/>
          <w:szCs w:val="24"/>
          <w:lang w:eastAsia="pl-PL"/>
        </w:rPr>
        <w:t>bieżącej płynności,</w:t>
      </w:r>
    </w:p>
    <w:p w14:paraId="5802AFA3" w14:textId="0D9C24C2" w:rsidR="005A6713" w:rsidRPr="00C14237" w:rsidRDefault="005A6713" w:rsidP="005A671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0"/>
        <w:rPr>
          <w:rFonts w:cs="Calibri"/>
          <w:sz w:val="20"/>
          <w:szCs w:val="20"/>
          <w:lang w:eastAsia="pl-PL"/>
        </w:rPr>
      </w:pPr>
      <w:r w:rsidRPr="00C14237">
        <w:rPr>
          <w:rFonts w:cs="Calibri"/>
          <w:szCs w:val="24"/>
          <w:lang w:eastAsia="pl-PL"/>
        </w:rPr>
        <w:t>zadłużenia aktywów (%),</w:t>
      </w:r>
    </w:p>
    <w:p w14:paraId="64289D51" w14:textId="77E0A609" w:rsidR="005A6713" w:rsidRPr="00C14237" w:rsidRDefault="005A6713" w:rsidP="00A26BB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szCs w:val="24"/>
          <w:lang w:eastAsia="pl-PL"/>
        </w:rPr>
      </w:pPr>
      <w:r w:rsidRPr="00C14237">
        <w:rPr>
          <w:rFonts w:cs="Calibri"/>
          <w:szCs w:val="24"/>
          <w:lang w:eastAsia="pl-PL"/>
        </w:rPr>
        <w:t>które zostały osiągnięte przez podmiot leczniczy w 2018 roku tj. ostatnim roku sprawozdawczym poprzedzającym rok złożenia wniosku o dofinansowanie.</w:t>
      </w:r>
    </w:p>
    <w:p w14:paraId="0EBF1A41" w14:textId="7346CABA" w:rsidR="002621D8" w:rsidRPr="00C14237" w:rsidRDefault="003F2EF8" w:rsidP="00CF081B">
      <w:pPr>
        <w:pStyle w:val="Akapitzlist"/>
        <w:tabs>
          <w:tab w:val="left" w:pos="1134"/>
        </w:tabs>
        <w:ind w:left="0" w:firstLine="0"/>
        <w:rPr>
          <w:rFonts w:ascii="Arial" w:hAnsi="Arial" w:cs="Arial"/>
          <w:b/>
          <w:bCs/>
          <w:strike/>
          <w:szCs w:val="24"/>
          <w:lang w:eastAsia="pl-PL"/>
        </w:rPr>
      </w:pPr>
      <w:r w:rsidRPr="00C7169E">
        <w:rPr>
          <w:rFonts w:cs="Calibri"/>
          <w:b/>
          <w:bCs/>
          <w:color w:val="000000"/>
          <w:szCs w:val="24"/>
          <w:lang w:eastAsia="pl-PL"/>
        </w:rPr>
        <w:t xml:space="preserve">Poprawa jakości świadczeń zdrowotnych </w:t>
      </w:r>
    </w:p>
    <w:p w14:paraId="1AB22A68" w14:textId="56D1CA07" w:rsidR="00F4612B" w:rsidRPr="00C14237" w:rsidRDefault="008B3E76" w:rsidP="00CF081B">
      <w:pPr>
        <w:autoSpaceDE w:val="0"/>
        <w:autoSpaceDN w:val="0"/>
        <w:adjustRightInd w:val="0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szCs w:val="24"/>
          <w:lang w:eastAsia="pl-PL"/>
        </w:rPr>
      </w:pPr>
      <w:r w:rsidRPr="00C14237">
        <w:rPr>
          <w:rFonts w:asciiTheme="minorHAnsi" w:hAnsiTheme="minorHAnsi" w:cstheme="minorHAnsi"/>
          <w:szCs w:val="24"/>
          <w:lang w:eastAsia="pl-PL"/>
        </w:rPr>
        <w:t xml:space="preserve">Należy </w:t>
      </w:r>
      <w:r w:rsidR="007246E8" w:rsidRPr="00C14237">
        <w:rPr>
          <w:rFonts w:asciiTheme="minorHAnsi" w:hAnsiTheme="minorHAnsi" w:cstheme="minorHAnsi"/>
          <w:szCs w:val="24"/>
          <w:lang w:eastAsia="pl-PL"/>
        </w:rPr>
        <w:t xml:space="preserve">zwięźle </w:t>
      </w:r>
      <w:r w:rsidRPr="00C14237">
        <w:rPr>
          <w:rFonts w:asciiTheme="minorHAnsi" w:hAnsiTheme="minorHAnsi" w:cstheme="minorHAnsi"/>
          <w:szCs w:val="24"/>
          <w:lang w:eastAsia="pl-PL"/>
        </w:rPr>
        <w:t>przedstawić co</w:t>
      </w:r>
      <w:r w:rsidR="007246E8" w:rsidRPr="00C14237">
        <w:rPr>
          <w:rFonts w:asciiTheme="minorHAnsi" w:hAnsiTheme="minorHAnsi" w:cstheme="minorHAnsi"/>
          <w:szCs w:val="24"/>
          <w:lang w:eastAsia="pl-PL"/>
        </w:rPr>
        <w:t xml:space="preserve"> będzie obejmować </w:t>
      </w:r>
      <w:r w:rsidRPr="00C14237">
        <w:rPr>
          <w:rFonts w:asciiTheme="minorHAnsi" w:hAnsiTheme="minorHAnsi" w:cstheme="minorHAnsi"/>
          <w:szCs w:val="24"/>
          <w:lang w:eastAsia="pl-PL"/>
        </w:rPr>
        <w:t>poprawa jakości świadczeń zdrowotnych realizowanych przez podmiot leczniczy w zakresie rehabilitacji ogólnoustrojowej dedykowanej chorobom układu kostno-mięśniowego.</w:t>
      </w:r>
    </w:p>
    <w:p w14:paraId="5A9ED3F8" w14:textId="53D9B60A" w:rsidR="004664D4" w:rsidRPr="004664D4" w:rsidRDefault="004664D4" w:rsidP="004664D4">
      <w:pPr>
        <w:pStyle w:val="Akapitzlist"/>
        <w:tabs>
          <w:tab w:val="left" w:pos="1134"/>
        </w:tabs>
        <w:ind w:left="0" w:firstLine="0"/>
        <w:rPr>
          <w:rFonts w:ascii="Arial" w:hAnsi="Arial" w:cs="Arial"/>
          <w:b/>
          <w:bCs/>
          <w:szCs w:val="24"/>
          <w:lang w:eastAsia="pl-PL"/>
        </w:rPr>
      </w:pPr>
      <w:r w:rsidRPr="002F3313">
        <w:rPr>
          <w:rFonts w:cs="Calibri"/>
          <w:b/>
          <w:bCs/>
          <w:color w:val="000000"/>
          <w:szCs w:val="24"/>
          <w:lang w:eastAsia="pl-PL"/>
        </w:rPr>
        <w:t>Poprawa dostępu do świadczeń zdrowotnych realizowanych w warunkach</w:t>
      </w:r>
      <w:r w:rsidRPr="004664D4">
        <w:rPr>
          <w:rFonts w:cs="Calibri"/>
          <w:b/>
          <w:bCs/>
          <w:color w:val="000000"/>
          <w:szCs w:val="24"/>
          <w:lang w:eastAsia="pl-PL"/>
        </w:rPr>
        <w:t xml:space="preserve"> </w:t>
      </w:r>
      <w:r w:rsidR="00D03C7F" w:rsidRPr="00C14237">
        <w:rPr>
          <w:rFonts w:cs="Calibri"/>
          <w:b/>
          <w:bCs/>
          <w:szCs w:val="24"/>
          <w:lang w:eastAsia="pl-PL"/>
        </w:rPr>
        <w:t xml:space="preserve">dziennych i / lub </w:t>
      </w:r>
      <w:r w:rsidRPr="004664D4">
        <w:rPr>
          <w:rFonts w:cs="Calibri"/>
          <w:b/>
          <w:bCs/>
          <w:color w:val="000000"/>
          <w:szCs w:val="24"/>
          <w:lang w:eastAsia="pl-PL"/>
        </w:rPr>
        <w:t>ambulatoryjnych</w:t>
      </w:r>
    </w:p>
    <w:p w14:paraId="3E712A71" w14:textId="0580BE81" w:rsidR="00D03C7F" w:rsidRPr="00C14237" w:rsidRDefault="00D03C7F" w:rsidP="00CF081B">
      <w:pPr>
        <w:pStyle w:val="Default"/>
        <w:ind w:left="-284"/>
        <w:jc w:val="both"/>
        <w:rPr>
          <w:rFonts w:asciiTheme="minorHAnsi" w:hAnsiTheme="minorHAnsi" w:cstheme="minorHAnsi"/>
          <w:bCs/>
        </w:rPr>
      </w:pPr>
      <w:r w:rsidRPr="00C14237">
        <w:rPr>
          <w:rFonts w:asciiTheme="minorHAnsi" w:hAnsiTheme="minorHAnsi" w:cstheme="minorHAnsi"/>
          <w:bCs/>
        </w:rPr>
        <w:t xml:space="preserve">Należy wskazać </w:t>
      </w:r>
      <w:r w:rsidRPr="00C14237">
        <w:rPr>
          <w:rFonts w:asciiTheme="minorHAnsi" w:hAnsiTheme="minorHAnsi" w:cstheme="minorHAnsi"/>
        </w:rPr>
        <w:t xml:space="preserve">odsetek pacjentów, o który zostanie zwiększona liczba pacjentów diagnozowanych i leczonych samodzielnie przez podmiot leczniczy w warunkach dziennych lub / i ambulatoryjnych na koniec drugiego roku po zakończeniu realizacji projektu </w:t>
      </w:r>
      <w:r w:rsidR="00C14237">
        <w:rPr>
          <w:rFonts w:asciiTheme="minorHAnsi" w:hAnsiTheme="minorHAnsi" w:cstheme="minorHAnsi"/>
        </w:rPr>
        <w:br/>
      </w:r>
      <w:r w:rsidRPr="00C14237">
        <w:rPr>
          <w:rFonts w:asciiTheme="minorHAnsi" w:hAnsiTheme="minorHAnsi" w:cstheme="minorHAnsi"/>
        </w:rPr>
        <w:t>w stosunku do 2018 roku tj. ostatniego roku sprawozdawczego poprzedzającego rok złożenia wniosku.</w:t>
      </w:r>
    </w:p>
    <w:p w14:paraId="416D4049" w14:textId="7DDC3F99" w:rsidR="002621D8" w:rsidRPr="00D03C7F" w:rsidRDefault="002621D8" w:rsidP="00CF081B">
      <w:pPr>
        <w:pStyle w:val="Default"/>
        <w:ind w:left="-284"/>
        <w:jc w:val="both"/>
        <w:rPr>
          <w:rFonts w:ascii="Calibri" w:hAnsi="Calibri" w:cs="Calibri"/>
          <w:color w:val="000000"/>
        </w:rPr>
      </w:pPr>
      <w:r w:rsidRPr="00D03C7F">
        <w:rPr>
          <w:rFonts w:ascii="Calibri" w:hAnsi="Calibri" w:cs="Calibri"/>
          <w:color w:val="000000"/>
        </w:rPr>
        <w:t>Spełnienie warunku dotyczącego zwiększenie odsetka pacjentów diagnozowanych</w:t>
      </w:r>
      <w:r w:rsidR="00964AEB" w:rsidRPr="00D03C7F">
        <w:rPr>
          <w:rFonts w:ascii="Calibri" w:hAnsi="Calibri" w:cs="Calibri"/>
          <w:color w:val="000000"/>
        </w:rPr>
        <w:t xml:space="preserve"> </w:t>
      </w:r>
      <w:r w:rsidR="00C14237">
        <w:rPr>
          <w:rFonts w:ascii="Calibri" w:hAnsi="Calibri" w:cs="Calibri"/>
          <w:color w:val="000000"/>
        </w:rPr>
        <w:br/>
      </w:r>
      <w:r w:rsidRPr="00D03C7F">
        <w:rPr>
          <w:rFonts w:ascii="Calibri" w:hAnsi="Calibri" w:cs="Calibri"/>
          <w:color w:val="000000"/>
        </w:rPr>
        <w:t xml:space="preserve">i leczonych samodzielnie przez podmiot leczniczy w warunkach ambulatoryjnych </w:t>
      </w:r>
      <w:r w:rsidRPr="00A16C81">
        <w:rPr>
          <w:rFonts w:ascii="Calibri" w:hAnsi="Calibri" w:cs="Calibri"/>
          <w:color w:val="000000"/>
          <w:u w:val="single"/>
        </w:rPr>
        <w:t>będzie elementem kontroli po zakończeniu realizacji projektu w ramach tzw. kontroli trwałości.</w:t>
      </w:r>
      <w:r w:rsidRPr="00D03C7F">
        <w:rPr>
          <w:rFonts w:ascii="Calibri" w:hAnsi="Calibri" w:cs="Calibri"/>
          <w:color w:val="000000"/>
        </w:rPr>
        <w:t xml:space="preserve"> </w:t>
      </w:r>
    </w:p>
    <w:p w14:paraId="174806EA" w14:textId="77777777" w:rsidR="007237CD" w:rsidRDefault="007237CD" w:rsidP="007237CD">
      <w:pPr>
        <w:pStyle w:val="Akapitzlist"/>
        <w:tabs>
          <w:tab w:val="left" w:pos="1134"/>
        </w:tabs>
        <w:ind w:left="-284" w:firstLine="0"/>
        <w:rPr>
          <w:rFonts w:ascii="Arial" w:hAnsi="Arial" w:cs="Arial"/>
          <w:b/>
          <w:lang w:eastAsia="pl-PL"/>
        </w:rPr>
      </w:pPr>
      <w:r w:rsidRPr="007237CD">
        <w:rPr>
          <w:rFonts w:ascii="Arial" w:hAnsi="Arial" w:cs="Arial"/>
          <w:b/>
          <w:lang w:eastAsia="pl-PL"/>
        </w:rPr>
        <w:t>Kompleksowa rehabilitacja ogólnoustrojowa</w:t>
      </w:r>
    </w:p>
    <w:p w14:paraId="0EB12EB2" w14:textId="19EFD122" w:rsidR="00D03C7F" w:rsidRPr="00C14237" w:rsidRDefault="00CE5AC2" w:rsidP="00A87015">
      <w:pPr>
        <w:pStyle w:val="Default"/>
        <w:ind w:left="-284"/>
        <w:jc w:val="both"/>
        <w:rPr>
          <w:rFonts w:asciiTheme="minorHAnsi" w:hAnsiTheme="minorHAnsi" w:cstheme="minorHAnsi"/>
        </w:rPr>
      </w:pPr>
      <w:r w:rsidRPr="00C14237">
        <w:rPr>
          <w:rFonts w:asciiTheme="minorHAnsi" w:hAnsiTheme="minorHAnsi" w:cstheme="minorHAnsi"/>
        </w:rPr>
        <w:t xml:space="preserve">Należy </w:t>
      </w:r>
      <w:r w:rsidR="00156752" w:rsidRPr="00C14237">
        <w:rPr>
          <w:rFonts w:asciiTheme="minorHAnsi" w:hAnsiTheme="minorHAnsi" w:cstheme="minorHAnsi"/>
        </w:rPr>
        <w:t>wskazać formy opieki rehabilitacyjnej</w:t>
      </w:r>
      <w:r w:rsidR="00156752" w:rsidRPr="00C14237">
        <w:rPr>
          <w:rStyle w:val="Odwoanieprzypisudolnego"/>
          <w:rFonts w:asciiTheme="minorHAnsi" w:hAnsiTheme="minorHAnsi" w:cstheme="minorHAnsi"/>
        </w:rPr>
        <w:footnoteReference w:id="37"/>
      </w:r>
      <w:r w:rsidR="00156752" w:rsidRPr="00C14237">
        <w:rPr>
          <w:rFonts w:asciiTheme="minorHAnsi" w:hAnsiTheme="minorHAnsi" w:cstheme="minorHAnsi"/>
        </w:rPr>
        <w:t xml:space="preserve">, w ramach których w wyniku realizacji projektu podmiot leczniczy będzie samodzielnie realizował świadczenia zdrowotne finansowane ze środków publicznych z zakresu </w:t>
      </w:r>
      <w:r w:rsidR="00156752" w:rsidRPr="00C14237">
        <w:rPr>
          <w:rFonts w:ascii="Calibri" w:hAnsi="Calibri" w:cs="Calibri"/>
          <w:bCs/>
        </w:rPr>
        <w:t>rehabilitacji ogólnoustrojowej dedykowanej chorobom układu kostno-mięśniowego.</w:t>
      </w:r>
    </w:p>
    <w:p w14:paraId="11CABC6D" w14:textId="77777777" w:rsidR="003E71A4" w:rsidRPr="003E71A4" w:rsidRDefault="003E71A4" w:rsidP="00CF081B">
      <w:pPr>
        <w:pStyle w:val="Akapitzlist"/>
        <w:tabs>
          <w:tab w:val="left" w:pos="993"/>
        </w:tabs>
        <w:ind w:left="-284" w:firstLine="0"/>
        <w:rPr>
          <w:rFonts w:ascii="Arial" w:hAnsi="Arial" w:cs="Arial"/>
          <w:b/>
          <w:lang w:eastAsia="pl-PL"/>
        </w:rPr>
      </w:pPr>
      <w:r>
        <w:rPr>
          <w:b/>
          <w:color w:val="000000"/>
          <w:szCs w:val="20"/>
        </w:rPr>
        <w:t>R</w:t>
      </w:r>
      <w:r w:rsidRPr="003A1427">
        <w:rPr>
          <w:b/>
          <w:color w:val="000000"/>
          <w:szCs w:val="20"/>
        </w:rPr>
        <w:t>ozwój stacjonarnej rehabilitacji ogólnoustrojowej związanej z chorobą powodującą dysfunkcję narządu ruchu</w:t>
      </w:r>
      <w:r w:rsidRPr="009406B9">
        <w:rPr>
          <w:b/>
          <w:lang w:eastAsia="pl-PL"/>
        </w:rPr>
        <w:t xml:space="preserve"> </w:t>
      </w:r>
    </w:p>
    <w:p w14:paraId="710D99EC" w14:textId="446BC830" w:rsidR="00C94D5E" w:rsidRPr="00C14237" w:rsidRDefault="00C94D5E" w:rsidP="00C14237">
      <w:pPr>
        <w:pStyle w:val="Default"/>
        <w:ind w:left="-284"/>
        <w:jc w:val="both"/>
        <w:rPr>
          <w:rFonts w:asciiTheme="minorHAnsi" w:hAnsiTheme="minorHAnsi" w:cstheme="minorHAnsi"/>
          <w:bCs/>
        </w:rPr>
      </w:pPr>
      <w:r w:rsidRPr="00C14237">
        <w:rPr>
          <w:rFonts w:asciiTheme="minorHAnsi" w:hAnsiTheme="minorHAnsi" w:cstheme="minorHAnsi"/>
          <w:bCs/>
        </w:rPr>
        <w:t xml:space="preserve">Należy wskazać </w:t>
      </w:r>
      <w:r w:rsidRPr="00C14237">
        <w:rPr>
          <w:rFonts w:asciiTheme="minorHAnsi" w:hAnsiTheme="minorHAnsi" w:cstheme="minorHAnsi"/>
        </w:rPr>
        <w:t>odsetek pacjentów, o który zostanie zwiększona</w:t>
      </w:r>
      <w:r w:rsidR="00800A50" w:rsidRPr="00C14237">
        <w:rPr>
          <w:rFonts w:ascii="Cambria" w:hAnsi="Cambria"/>
        </w:rPr>
        <w:t xml:space="preserve"> </w:t>
      </w:r>
      <w:r w:rsidR="00800A50" w:rsidRPr="00C14237">
        <w:rPr>
          <w:rFonts w:asciiTheme="minorHAnsi" w:hAnsiTheme="minorHAnsi" w:cstheme="minorHAnsi"/>
        </w:rPr>
        <w:t>na koniec drugiego roku po zakończeniu realizacji projektu</w:t>
      </w:r>
      <w:r w:rsidR="00800A50" w:rsidRPr="00C14237">
        <w:rPr>
          <w:rFonts w:ascii="Cambria" w:hAnsi="Cambria"/>
        </w:rPr>
        <w:t>,</w:t>
      </w:r>
      <w:r w:rsidRPr="00C14237">
        <w:rPr>
          <w:rFonts w:asciiTheme="minorHAnsi" w:hAnsiTheme="minorHAnsi" w:cstheme="minorHAnsi"/>
        </w:rPr>
        <w:t xml:space="preserve"> liczba </w:t>
      </w:r>
      <w:r w:rsidR="00800A50" w:rsidRPr="00C14237">
        <w:rPr>
          <w:rFonts w:asciiTheme="minorHAnsi" w:hAnsiTheme="minorHAnsi" w:cstheme="minorHAnsi"/>
        </w:rPr>
        <w:t>leczonych przez podmiot leczniczy pacjentów</w:t>
      </w:r>
      <w:r w:rsidR="00800A50" w:rsidRPr="00C14237">
        <w:rPr>
          <w:rFonts w:ascii="Cambria" w:hAnsi="Cambria"/>
        </w:rPr>
        <w:t xml:space="preserve">, którzy w terminie do 6 miesięcy od przyjęcia do oddziału objętego wsparciem zakończyli </w:t>
      </w:r>
      <w:r w:rsidR="00800A50" w:rsidRPr="00C14237">
        <w:rPr>
          <w:rFonts w:ascii="Cambria" w:hAnsi="Cambria"/>
        </w:rPr>
        <w:lastRenderedPageBreak/>
        <w:t>hospitalizację związaną z leczeniem zachowawczym lub operacyjnym choroby powodującej dysfunkcję narządu ruchu</w:t>
      </w:r>
      <w:r w:rsidR="00800A50" w:rsidRPr="00C14237">
        <w:rPr>
          <w:rStyle w:val="Odwoanieprzypisudolnego"/>
          <w:rFonts w:ascii="Cambria" w:hAnsi="Cambria"/>
        </w:rPr>
        <w:footnoteReference w:id="38"/>
      </w:r>
      <w:r w:rsidR="00800A50" w:rsidRPr="00C14237">
        <w:rPr>
          <w:rFonts w:ascii="Cambria" w:hAnsi="Cambria"/>
        </w:rPr>
        <w:t xml:space="preserve"> </w:t>
      </w:r>
      <w:r w:rsidRPr="00C14237">
        <w:rPr>
          <w:rFonts w:asciiTheme="minorHAnsi" w:hAnsiTheme="minorHAnsi" w:cstheme="minorHAnsi"/>
        </w:rPr>
        <w:t xml:space="preserve">w stosunku do 2018 roku tj. </w:t>
      </w:r>
      <w:r w:rsidR="00800A50" w:rsidRPr="00C14237">
        <w:rPr>
          <w:rFonts w:asciiTheme="minorHAnsi" w:hAnsiTheme="minorHAnsi" w:cstheme="minorHAnsi"/>
        </w:rPr>
        <w:t>roku</w:t>
      </w:r>
      <w:r w:rsidRPr="00C14237">
        <w:rPr>
          <w:rFonts w:asciiTheme="minorHAnsi" w:hAnsiTheme="minorHAnsi" w:cstheme="minorHAnsi"/>
        </w:rPr>
        <w:t xml:space="preserve"> poprzedzającego rok złożenia wniosku.</w:t>
      </w:r>
    </w:p>
    <w:p w14:paraId="06C98C04" w14:textId="555F2895" w:rsidR="003E71A4" w:rsidRPr="00800A50" w:rsidRDefault="003E71A4" w:rsidP="003F2E28">
      <w:pPr>
        <w:pStyle w:val="Default"/>
        <w:ind w:left="-284"/>
        <w:jc w:val="both"/>
        <w:rPr>
          <w:rFonts w:ascii="Cambria" w:hAnsi="Cambria" w:cstheme="minorHAnsi"/>
          <w:bCs/>
        </w:rPr>
      </w:pPr>
      <w:r w:rsidRPr="00800A50">
        <w:rPr>
          <w:rFonts w:ascii="Cambria" w:hAnsi="Cambria"/>
          <w:bCs/>
        </w:rPr>
        <w:t xml:space="preserve">Spełnienie warunku dotyczącego zwiększenie odsetka pacjentów dorosłych (powyżej 18 lat), którym zostanie zapewniona </w:t>
      </w:r>
      <w:r w:rsidR="008A7967" w:rsidRPr="00800A50">
        <w:rPr>
          <w:rFonts w:ascii="Cambria" w:hAnsi="Cambria"/>
          <w:bCs/>
        </w:rPr>
        <w:t>stacjonarna rehabilitacja</w:t>
      </w:r>
      <w:r w:rsidRPr="00800A50">
        <w:rPr>
          <w:rFonts w:ascii="Cambria" w:hAnsi="Cambria"/>
          <w:bCs/>
        </w:rPr>
        <w:t xml:space="preserve"> ogólnoustrojowa w terminie do 6 miesięcy od zakończenia hospitalizacji związanej z leczeniem zachowawczym lub operacyjnym choroby powodującej dysfunkcję narządu ruchu </w:t>
      </w:r>
      <w:r w:rsidRPr="00A16C81">
        <w:rPr>
          <w:rFonts w:ascii="Cambria" w:hAnsi="Cambria"/>
          <w:bCs/>
          <w:u w:val="single"/>
        </w:rPr>
        <w:t>będzie elementem kontroli po zakończeniu realizacji projektu w ramach tzw. kontroli trwałości</w:t>
      </w:r>
      <w:r w:rsidRPr="00800A50">
        <w:rPr>
          <w:rFonts w:ascii="Cambria" w:hAnsi="Cambria"/>
          <w:bCs/>
        </w:rPr>
        <w:t>.</w:t>
      </w:r>
    </w:p>
    <w:p w14:paraId="7D0D1C90" w14:textId="77777777" w:rsidR="003F2EF8" w:rsidRPr="003E4D76" w:rsidRDefault="003F2EF8" w:rsidP="00CF081B">
      <w:pPr>
        <w:pStyle w:val="Akapitzlist"/>
        <w:tabs>
          <w:tab w:val="left" w:pos="993"/>
        </w:tabs>
        <w:ind w:left="-284" w:firstLine="0"/>
        <w:rPr>
          <w:rFonts w:ascii="Arial" w:hAnsi="Arial" w:cs="Arial"/>
          <w:b/>
          <w:lang w:eastAsia="pl-PL"/>
        </w:rPr>
      </w:pPr>
      <w:r w:rsidRPr="009406B9">
        <w:rPr>
          <w:b/>
          <w:lang w:eastAsia="pl-PL"/>
        </w:rPr>
        <w:t xml:space="preserve">Komplementarność projektu </w:t>
      </w:r>
    </w:p>
    <w:p w14:paraId="49541444" w14:textId="4EA14B2B" w:rsidR="004B144A" w:rsidRPr="00797DE0" w:rsidRDefault="004B144A" w:rsidP="0097677E">
      <w:pPr>
        <w:autoSpaceDE w:val="0"/>
        <w:autoSpaceDN w:val="0"/>
        <w:adjustRightInd w:val="0"/>
        <w:spacing w:before="0" w:beforeAutospacing="0" w:after="0" w:afterAutospacing="0"/>
        <w:ind w:left="-284"/>
        <w:jc w:val="both"/>
        <w:rPr>
          <w:rFonts w:cs="Calibri"/>
          <w:szCs w:val="24"/>
          <w:lang w:eastAsia="pl-PL"/>
        </w:rPr>
      </w:pPr>
      <w:r w:rsidRPr="00797DE0">
        <w:rPr>
          <w:rFonts w:cs="Calibri"/>
          <w:szCs w:val="24"/>
          <w:lang w:eastAsia="pl-PL"/>
        </w:rPr>
        <w:t>Należy wskazać projekty</w:t>
      </w:r>
      <w:r w:rsidR="003E4D76" w:rsidRPr="00797DE0">
        <w:rPr>
          <w:rFonts w:cs="Calibri"/>
          <w:szCs w:val="24"/>
          <w:lang w:eastAsia="pl-PL"/>
        </w:rPr>
        <w:t xml:space="preserve">, </w:t>
      </w:r>
      <w:r w:rsidR="003E4D76" w:rsidRPr="003F2EF8">
        <w:rPr>
          <w:rFonts w:cs="Calibri"/>
          <w:color w:val="000000"/>
          <w:szCs w:val="24"/>
          <w:lang w:eastAsia="pl-PL"/>
        </w:rPr>
        <w:t>które realizował lub realizuje podmiot leczniczy niezależnie od źródła ich finansowania (np. ze środków EFRR, EFS, publicznych lub prywatnych środków krajowych), które stanowią dopełnienie / uzupełnienie projektu objętego wsparciem</w:t>
      </w:r>
      <w:r w:rsidR="00D15FE6">
        <w:rPr>
          <w:rFonts w:cs="Calibri"/>
          <w:color w:val="000000"/>
          <w:szCs w:val="24"/>
          <w:lang w:eastAsia="pl-PL"/>
        </w:rPr>
        <w:t xml:space="preserve"> </w:t>
      </w:r>
      <w:r w:rsidR="00D15FE6" w:rsidRPr="00797DE0">
        <w:rPr>
          <w:rFonts w:cs="Calibri"/>
          <w:szCs w:val="24"/>
          <w:lang w:eastAsia="pl-PL"/>
        </w:rPr>
        <w:t>tj.</w:t>
      </w:r>
      <w:r w:rsidRPr="00797DE0">
        <w:rPr>
          <w:rFonts w:cs="Calibri"/>
          <w:szCs w:val="24"/>
          <w:lang w:eastAsia="pl-PL"/>
        </w:rPr>
        <w:t xml:space="preserve"> </w:t>
      </w:r>
      <w:r w:rsidR="00D15FE6" w:rsidRPr="00797DE0">
        <w:rPr>
          <w:rFonts w:cs="Calibri"/>
          <w:szCs w:val="24"/>
          <w:lang w:eastAsia="pl-PL"/>
        </w:rPr>
        <w:t>których</w:t>
      </w:r>
      <w:r w:rsidRPr="00797DE0">
        <w:rPr>
          <w:rFonts w:cs="Calibri"/>
          <w:szCs w:val="24"/>
          <w:lang w:eastAsia="pl-PL"/>
        </w:rPr>
        <w:t xml:space="preserve"> realizacja:</w:t>
      </w:r>
    </w:p>
    <w:p w14:paraId="4C5C05A9" w14:textId="20C39A19" w:rsidR="004B144A" w:rsidRPr="00797DE0" w:rsidRDefault="004B144A" w:rsidP="004B144A">
      <w:pPr>
        <w:pStyle w:val="Akapitzlist"/>
        <w:numPr>
          <w:ilvl w:val="0"/>
          <w:numId w:val="50"/>
        </w:numPr>
        <w:spacing w:before="0" w:after="0"/>
        <w:ind w:left="0" w:firstLine="0"/>
        <w:jc w:val="left"/>
      </w:pPr>
      <w:r w:rsidRPr="00797DE0">
        <w:t>rozwiązuje ten sam problem,</w:t>
      </w:r>
    </w:p>
    <w:p w14:paraId="0151F492" w14:textId="26BFC5A2" w:rsidR="004B144A" w:rsidRPr="00797DE0" w:rsidRDefault="00D15FE6" w:rsidP="004B144A">
      <w:pPr>
        <w:pStyle w:val="Akapitzlist"/>
        <w:numPr>
          <w:ilvl w:val="0"/>
          <w:numId w:val="50"/>
        </w:numPr>
        <w:spacing w:before="0" w:after="0"/>
        <w:ind w:left="0" w:firstLine="0"/>
        <w:jc w:val="left"/>
      </w:pPr>
      <w:r w:rsidRPr="00797DE0">
        <w:t>prowadzi do osiągnięcia</w:t>
      </w:r>
      <w:r w:rsidR="004B144A" w:rsidRPr="00797DE0">
        <w:t xml:space="preserve"> wspóln</w:t>
      </w:r>
      <w:r w:rsidRPr="00797DE0">
        <w:t>ego</w:t>
      </w:r>
      <w:r w:rsidR="004B144A" w:rsidRPr="00797DE0">
        <w:t xml:space="preserve"> cel</w:t>
      </w:r>
      <w:r w:rsidRPr="00797DE0">
        <w:t>u</w:t>
      </w:r>
      <w:r w:rsidR="004B144A" w:rsidRPr="00797DE0">
        <w:t>,</w:t>
      </w:r>
    </w:p>
    <w:p w14:paraId="40204627" w14:textId="166DD067" w:rsidR="004B144A" w:rsidRPr="00797DE0" w:rsidRDefault="004B144A" w:rsidP="004B144A">
      <w:pPr>
        <w:pStyle w:val="Akapitzlist"/>
        <w:numPr>
          <w:ilvl w:val="0"/>
          <w:numId w:val="50"/>
        </w:numPr>
        <w:spacing w:before="0" w:after="0"/>
        <w:ind w:left="0" w:firstLine="0"/>
      </w:pPr>
      <w:r w:rsidRPr="00797DE0">
        <w:t>prowadzi do wzm</w:t>
      </w:r>
      <w:r w:rsidR="00530FE3" w:rsidRPr="00797DE0">
        <w:t>o</w:t>
      </w:r>
      <w:r w:rsidRPr="00797DE0">
        <w:t>cni</w:t>
      </w:r>
      <w:r w:rsidR="00530FE3" w:rsidRPr="00797DE0">
        <w:t>e</w:t>
      </w:r>
      <w:r w:rsidRPr="00797DE0">
        <w:t xml:space="preserve">nia efektów </w:t>
      </w:r>
      <w:r w:rsidR="00530FE3" w:rsidRPr="00797DE0">
        <w:t xml:space="preserve">poszczególnych </w:t>
      </w:r>
      <w:r w:rsidRPr="00797DE0">
        <w:t>projektów</w:t>
      </w:r>
      <w:r w:rsidR="00530FE3" w:rsidRPr="00797DE0">
        <w:t xml:space="preserve"> </w:t>
      </w:r>
      <w:r w:rsidRPr="00797DE0">
        <w:t>komplementarnych,</w:t>
      </w:r>
    </w:p>
    <w:p w14:paraId="31301A17" w14:textId="326DC703" w:rsidR="004B144A" w:rsidRPr="00797DE0" w:rsidRDefault="00530FE3" w:rsidP="004B144A">
      <w:pPr>
        <w:pStyle w:val="Akapitzlist"/>
        <w:numPr>
          <w:ilvl w:val="0"/>
          <w:numId w:val="50"/>
        </w:numPr>
        <w:spacing w:before="0" w:after="0"/>
        <w:ind w:left="0" w:firstLine="0"/>
        <w:jc w:val="left"/>
      </w:pPr>
      <w:r w:rsidRPr="00797DE0">
        <w:t xml:space="preserve">obejmuje działania, które się </w:t>
      </w:r>
      <w:r w:rsidR="004B144A" w:rsidRPr="00797DE0">
        <w:t>wzajemn</w:t>
      </w:r>
      <w:r w:rsidRPr="00797DE0">
        <w:t>i</w:t>
      </w:r>
      <w:r w:rsidR="004B144A" w:rsidRPr="00797DE0">
        <w:t>e uzupełnia</w:t>
      </w:r>
      <w:r w:rsidRPr="00797DE0">
        <w:t>ją</w:t>
      </w:r>
      <w:r w:rsidR="004B144A" w:rsidRPr="00797DE0">
        <w:t>,</w:t>
      </w:r>
    </w:p>
    <w:p w14:paraId="1D65B415" w14:textId="26AD3B69" w:rsidR="004B144A" w:rsidRPr="00797DE0" w:rsidRDefault="00530FE3" w:rsidP="004B144A">
      <w:pPr>
        <w:pStyle w:val="Akapitzlist"/>
        <w:numPr>
          <w:ilvl w:val="0"/>
          <w:numId w:val="50"/>
        </w:numPr>
        <w:spacing w:before="0" w:after="0"/>
        <w:ind w:left="0" w:firstLine="0"/>
        <w:jc w:val="left"/>
      </w:pPr>
      <w:r w:rsidRPr="00797DE0">
        <w:t xml:space="preserve">umożliwia </w:t>
      </w:r>
      <w:r w:rsidR="004B144A" w:rsidRPr="00797DE0">
        <w:t>osiągni</w:t>
      </w:r>
      <w:r w:rsidRPr="00797DE0">
        <w:t>ęcie</w:t>
      </w:r>
      <w:r w:rsidR="004B144A" w:rsidRPr="00797DE0">
        <w:t xml:space="preserve"> wspólnych rezultatów,</w:t>
      </w:r>
    </w:p>
    <w:p w14:paraId="61BA474B" w14:textId="1FCD0495" w:rsidR="004B144A" w:rsidRPr="00797DE0" w:rsidRDefault="00530FE3" w:rsidP="004B144A">
      <w:pPr>
        <w:pStyle w:val="Akapitzlist"/>
        <w:numPr>
          <w:ilvl w:val="0"/>
          <w:numId w:val="50"/>
        </w:numPr>
        <w:spacing w:before="0" w:after="0"/>
        <w:ind w:left="0" w:firstLine="0"/>
        <w:jc w:val="left"/>
      </w:pPr>
      <w:r w:rsidRPr="00797DE0">
        <w:t xml:space="preserve">obejmuje </w:t>
      </w:r>
      <w:r w:rsidR="004B144A" w:rsidRPr="00797DE0">
        <w:t>działania na rzecz zdiagnozowanej grupy docelowej</w:t>
      </w:r>
      <w:r w:rsidRPr="00797DE0">
        <w:t>.</w:t>
      </w:r>
    </w:p>
    <w:p w14:paraId="70DDAF7E" w14:textId="01084993" w:rsidR="004B144A" w:rsidRPr="00797DE0" w:rsidRDefault="00530FE3" w:rsidP="00530FE3">
      <w:pPr>
        <w:autoSpaceDE w:val="0"/>
        <w:autoSpaceDN w:val="0"/>
        <w:adjustRightInd w:val="0"/>
        <w:rPr>
          <w:rFonts w:cs="Calibri"/>
          <w:szCs w:val="24"/>
          <w:lang w:eastAsia="pl-PL"/>
        </w:rPr>
      </w:pPr>
      <w:r w:rsidRPr="00797DE0">
        <w:rPr>
          <w:rFonts w:cs="Calibri"/>
          <w:szCs w:val="24"/>
          <w:lang w:eastAsia="pl-PL"/>
        </w:rPr>
        <w:t>Należy jednocześnie pamiętać, że przesłanki wskazane w punktach od a do f muszą być spełnione łącznie.</w:t>
      </w:r>
    </w:p>
    <w:p w14:paraId="64C290AC" w14:textId="77777777" w:rsidR="003E4D76" w:rsidRPr="003E4D76" w:rsidRDefault="003E4D76" w:rsidP="00CF081B">
      <w:pPr>
        <w:pStyle w:val="Akapitzlist"/>
        <w:ind w:left="-284" w:firstLine="0"/>
        <w:rPr>
          <w:rFonts w:ascii="Arial" w:hAnsi="Arial" w:cs="Arial"/>
          <w:b/>
          <w:szCs w:val="24"/>
          <w:lang w:eastAsia="pl-PL"/>
        </w:rPr>
      </w:pPr>
      <w:r w:rsidRPr="003E4D76">
        <w:rPr>
          <w:rFonts w:cs="Calibri"/>
          <w:b/>
          <w:bCs/>
          <w:color w:val="000000"/>
          <w:szCs w:val="24"/>
          <w:lang w:eastAsia="pl-PL"/>
        </w:rPr>
        <w:t>Poprawa dostępu do świadczeń opieki zdrowotnej</w:t>
      </w:r>
    </w:p>
    <w:p w14:paraId="44887945" w14:textId="7CEF1832" w:rsidR="00E337A1" w:rsidRPr="00772786" w:rsidRDefault="0097677E" w:rsidP="0097677E">
      <w:pPr>
        <w:pStyle w:val="Default"/>
        <w:ind w:left="-284"/>
        <w:jc w:val="both"/>
        <w:rPr>
          <w:rFonts w:ascii="Calibri" w:hAnsi="Calibri" w:cs="Calibri"/>
          <w:bCs/>
        </w:rPr>
      </w:pPr>
      <w:r w:rsidRPr="00772786">
        <w:rPr>
          <w:rFonts w:asciiTheme="minorHAnsi" w:hAnsiTheme="minorHAnsi" w:cstheme="minorHAnsi"/>
          <w:bCs/>
        </w:rPr>
        <w:t xml:space="preserve">Należy wskazać </w:t>
      </w:r>
      <w:r w:rsidR="00E337A1" w:rsidRPr="00772786">
        <w:rPr>
          <w:rFonts w:asciiTheme="minorHAnsi" w:hAnsiTheme="minorHAnsi" w:cstheme="minorHAnsi"/>
          <w:bCs/>
        </w:rPr>
        <w:t>o ile zmienią się wybrane wskaźniki dotyczące dostępu do świadczeń zdrowotnych</w:t>
      </w:r>
      <w:r w:rsidR="00E337A1" w:rsidRPr="00772786">
        <w:rPr>
          <w:rFonts w:asciiTheme="minorHAnsi" w:hAnsiTheme="minorHAnsi" w:cstheme="minorHAnsi"/>
        </w:rPr>
        <w:t xml:space="preserve"> z zakresu </w:t>
      </w:r>
      <w:r w:rsidR="00E337A1" w:rsidRPr="00772786">
        <w:rPr>
          <w:rFonts w:ascii="Calibri" w:hAnsi="Calibri" w:cs="Calibri"/>
          <w:bCs/>
        </w:rPr>
        <w:t>rehabilitacji ogólnoustrojowej dedykowanej chorobom układu kostno-mięśniowego</w:t>
      </w:r>
      <w:r w:rsidR="00E337A1" w:rsidRPr="00772786">
        <w:rPr>
          <w:rFonts w:asciiTheme="minorHAnsi" w:hAnsiTheme="minorHAnsi" w:cstheme="minorHAnsi"/>
        </w:rPr>
        <w:t xml:space="preserve"> na koniec drugiego roku po zakończeniu realizacji projektu w stosunku do 2018 roku tj. roku poprzedzającego rok złożenia wniosku</w:t>
      </w:r>
      <w:r w:rsidR="00E337A1" w:rsidRPr="00772786">
        <w:rPr>
          <w:rFonts w:asciiTheme="minorHAnsi" w:hAnsiTheme="minorHAnsi" w:cstheme="minorHAnsi"/>
          <w:bCs/>
        </w:rPr>
        <w:t xml:space="preserve"> o dofinansowanie</w:t>
      </w:r>
      <w:r w:rsidR="00E337A1" w:rsidRPr="00772786">
        <w:rPr>
          <w:rFonts w:ascii="Calibri" w:hAnsi="Calibri" w:cs="Calibri"/>
          <w:bCs/>
        </w:rPr>
        <w:t>, w tym wskaźniki dotyczące:</w:t>
      </w:r>
    </w:p>
    <w:p w14:paraId="4AF46923" w14:textId="499894A5" w:rsidR="00E337A1" w:rsidRPr="00772786" w:rsidRDefault="00E337A1" w:rsidP="00E337A1">
      <w:pPr>
        <w:pStyle w:val="Default"/>
        <w:numPr>
          <w:ilvl w:val="0"/>
          <w:numId w:val="57"/>
        </w:numPr>
        <w:jc w:val="both"/>
        <w:rPr>
          <w:rFonts w:asciiTheme="minorHAnsi" w:hAnsiTheme="minorHAnsi" w:cstheme="minorHAnsi"/>
          <w:bCs/>
        </w:rPr>
      </w:pPr>
      <w:r w:rsidRPr="00772786">
        <w:rPr>
          <w:rFonts w:asciiTheme="minorHAnsi" w:hAnsiTheme="minorHAnsi" w:cstheme="minorHAnsi"/>
        </w:rPr>
        <w:t xml:space="preserve">skrócenia </w:t>
      </w:r>
      <w:r w:rsidRPr="00772786">
        <w:rPr>
          <w:rFonts w:asciiTheme="minorHAnsi" w:hAnsiTheme="minorHAnsi" w:cstheme="minorHAnsi"/>
          <w:b/>
          <w:bCs/>
        </w:rPr>
        <w:t>średniego czasu oczekiwani</w:t>
      </w:r>
      <w:r w:rsidR="004A0195" w:rsidRPr="00772786">
        <w:rPr>
          <w:rFonts w:asciiTheme="minorHAnsi" w:hAnsiTheme="minorHAnsi" w:cstheme="minorHAnsi"/>
          <w:b/>
          <w:bCs/>
        </w:rPr>
        <w:t>a</w:t>
      </w:r>
      <w:r w:rsidRPr="00772786">
        <w:rPr>
          <w:rStyle w:val="Odwoanieprzypisudolnego"/>
          <w:rFonts w:asciiTheme="minorHAnsi" w:hAnsiTheme="minorHAnsi" w:cstheme="minorHAnsi"/>
        </w:rPr>
        <w:footnoteReference w:id="39"/>
      </w:r>
      <w:r w:rsidRPr="00772786">
        <w:rPr>
          <w:rFonts w:asciiTheme="minorHAnsi" w:hAnsiTheme="minorHAnsi" w:cstheme="minorHAnsi"/>
        </w:rPr>
        <w:t xml:space="preserve"> na świadczenia zdrowotne w poszczególnych komórkach organizacyjnych objętych projektem,</w:t>
      </w:r>
    </w:p>
    <w:p w14:paraId="75419387" w14:textId="36A064B4" w:rsidR="004A0195" w:rsidRPr="00772786" w:rsidRDefault="004A0195" w:rsidP="00E337A1">
      <w:pPr>
        <w:pStyle w:val="Default"/>
        <w:numPr>
          <w:ilvl w:val="0"/>
          <w:numId w:val="57"/>
        </w:numPr>
        <w:jc w:val="both"/>
        <w:rPr>
          <w:rFonts w:ascii="Calibri" w:hAnsi="Calibri" w:cs="Calibri"/>
          <w:bCs/>
        </w:rPr>
      </w:pPr>
      <w:r w:rsidRPr="00772786">
        <w:rPr>
          <w:rFonts w:ascii="Calibri" w:hAnsi="Calibri" w:cs="Calibri"/>
        </w:rPr>
        <w:lastRenderedPageBreak/>
        <w:t xml:space="preserve">zmniejszenia </w:t>
      </w:r>
      <w:r w:rsidRPr="00772786">
        <w:rPr>
          <w:rFonts w:ascii="Calibri" w:hAnsi="Calibri" w:cs="Calibri"/>
          <w:b/>
        </w:rPr>
        <w:t>liczby osób oczekujących</w:t>
      </w:r>
      <w:r w:rsidRPr="00772786">
        <w:rPr>
          <w:rFonts w:ascii="Calibri" w:hAnsi="Calibri" w:cs="Calibri"/>
        </w:rPr>
        <w:t xml:space="preserve"> na świadczenie zdrowotne dłużej niż średni czas oczekiwania na dane świadczenie w poszczególnych komórkach organizacyjnych objętych projektem,</w:t>
      </w:r>
    </w:p>
    <w:p w14:paraId="51276A1D" w14:textId="159EC860" w:rsidR="0097677E" w:rsidRPr="00772786" w:rsidRDefault="004A0195" w:rsidP="00E337A1">
      <w:pPr>
        <w:pStyle w:val="Default"/>
        <w:numPr>
          <w:ilvl w:val="0"/>
          <w:numId w:val="57"/>
        </w:numPr>
        <w:jc w:val="both"/>
        <w:rPr>
          <w:rFonts w:ascii="Calibri" w:hAnsi="Calibri" w:cs="Calibri"/>
          <w:bCs/>
        </w:rPr>
      </w:pPr>
      <w:r w:rsidRPr="00772786">
        <w:rPr>
          <w:rFonts w:ascii="Calibri" w:hAnsi="Calibri" w:cs="Calibri"/>
        </w:rPr>
        <w:t xml:space="preserve">poprawy </w:t>
      </w:r>
      <w:r w:rsidRPr="00772786">
        <w:rPr>
          <w:rFonts w:ascii="Calibri" w:hAnsi="Calibri" w:cs="Calibri"/>
          <w:b/>
        </w:rPr>
        <w:t>wskaźnika przelotowości</w:t>
      </w:r>
      <w:r w:rsidRPr="00772786">
        <w:rPr>
          <w:rStyle w:val="Odwoanieprzypisudolnego"/>
          <w:rFonts w:ascii="Calibri" w:hAnsi="Calibri" w:cs="Calibri"/>
          <w:b/>
        </w:rPr>
        <w:footnoteReference w:id="40"/>
      </w:r>
      <w:r w:rsidRPr="00772786">
        <w:rPr>
          <w:rFonts w:ascii="Calibri" w:hAnsi="Calibri" w:cs="Calibri"/>
        </w:rPr>
        <w:t xml:space="preserve"> w oddziałach stacjonarnych objętych projektem</w:t>
      </w:r>
      <w:r w:rsidR="0097677E" w:rsidRPr="00772786">
        <w:rPr>
          <w:rFonts w:ascii="Calibri" w:hAnsi="Calibri" w:cs="Calibri"/>
        </w:rPr>
        <w:t>.</w:t>
      </w:r>
    </w:p>
    <w:p w14:paraId="6E1AC8AC" w14:textId="310A7B57" w:rsidR="003E4D76" w:rsidRPr="004A0195" w:rsidRDefault="003E4D76" w:rsidP="00CF081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before="0" w:after="0"/>
        <w:ind w:left="-284"/>
        <w:rPr>
          <w:rFonts w:cs="Calibri"/>
          <w:color w:val="000000"/>
          <w:szCs w:val="24"/>
          <w:lang w:eastAsia="pl-PL"/>
        </w:rPr>
      </w:pPr>
      <w:r w:rsidRPr="004A0195">
        <w:rPr>
          <w:rFonts w:cs="Calibri"/>
          <w:color w:val="000000"/>
          <w:szCs w:val="24"/>
          <w:lang w:eastAsia="pl-PL"/>
        </w:rPr>
        <w:t xml:space="preserve">Spełnienie warunku dotyczącego poprawy dostępu do świadczeń zdrowotnych z zakresu </w:t>
      </w:r>
      <w:r w:rsidR="00772786" w:rsidRPr="00772786">
        <w:rPr>
          <w:rFonts w:cs="Calibri"/>
          <w:bCs/>
        </w:rPr>
        <w:t>rehabilitacji ogólnoustrojowej dedykowanej chorobom układu kostno-mięśniowego</w:t>
      </w:r>
      <w:r w:rsidRPr="004A0195">
        <w:rPr>
          <w:rFonts w:cs="Calibri"/>
          <w:color w:val="000000"/>
          <w:szCs w:val="24"/>
          <w:lang w:eastAsia="pl-PL"/>
        </w:rPr>
        <w:t xml:space="preserve"> </w:t>
      </w:r>
      <w:r w:rsidRPr="00772786">
        <w:rPr>
          <w:rFonts w:cs="Calibri"/>
          <w:color w:val="000000"/>
          <w:szCs w:val="24"/>
          <w:u w:val="single"/>
          <w:lang w:eastAsia="pl-PL"/>
        </w:rPr>
        <w:t xml:space="preserve">będzie elementem kontroli po zakończeniu realizacji projektu w ramach tzw. kontroli trwałości. </w:t>
      </w:r>
    </w:p>
    <w:p w14:paraId="14916E04" w14:textId="77777777" w:rsidR="00862BB0" w:rsidRPr="00163557" w:rsidRDefault="00862BB0" w:rsidP="00CF081B">
      <w:pPr>
        <w:pStyle w:val="Akapitzlist"/>
        <w:ind w:left="-284" w:firstLine="0"/>
        <w:rPr>
          <w:rFonts w:ascii="Arial" w:hAnsi="Arial" w:cs="Arial"/>
          <w:b/>
          <w:szCs w:val="24"/>
          <w:lang w:eastAsia="pl-PL"/>
        </w:rPr>
      </w:pPr>
      <w:r w:rsidRPr="00163557">
        <w:rPr>
          <w:rFonts w:cs="Calibri"/>
          <w:b/>
          <w:bCs/>
          <w:color w:val="000000"/>
          <w:szCs w:val="24"/>
          <w:lang w:eastAsia="pl-PL"/>
        </w:rPr>
        <w:t xml:space="preserve">Kształcenie kadr medycznych </w:t>
      </w:r>
    </w:p>
    <w:p w14:paraId="6D821BD0" w14:textId="1E45977D" w:rsidR="00E20A49" w:rsidRPr="000F792E" w:rsidRDefault="00E20A49" w:rsidP="00CF081B">
      <w:pPr>
        <w:autoSpaceDE w:val="0"/>
        <w:autoSpaceDN w:val="0"/>
        <w:adjustRightInd w:val="0"/>
        <w:spacing w:before="0" w:beforeAutospacing="0" w:after="0" w:afterAutospacing="0"/>
        <w:ind w:left="-284"/>
        <w:jc w:val="both"/>
        <w:rPr>
          <w:rFonts w:cs="Calibri"/>
          <w:szCs w:val="24"/>
          <w:lang w:eastAsia="pl-PL"/>
        </w:rPr>
      </w:pPr>
      <w:r w:rsidRPr="000F792E">
        <w:rPr>
          <w:rFonts w:cs="Calibri"/>
          <w:szCs w:val="24"/>
          <w:lang w:eastAsia="pl-PL"/>
        </w:rPr>
        <w:t xml:space="preserve">Należy wskazać którym uczelniom, a także organizatorom kształcenia podyplomowego podmiot leczniczy </w:t>
      </w:r>
      <w:r w:rsidR="00FC44DF" w:rsidRPr="000F792E">
        <w:rPr>
          <w:rFonts w:cs="Calibri"/>
          <w:szCs w:val="24"/>
          <w:lang w:eastAsia="pl-PL"/>
        </w:rPr>
        <w:t xml:space="preserve">udostępnia komórki i / lub jednostki organizacyjne niezbędne do realizacji zadań polegających na kształceniu </w:t>
      </w:r>
      <w:proofErr w:type="spellStart"/>
      <w:r w:rsidR="00FC44DF" w:rsidRPr="000F792E">
        <w:rPr>
          <w:rFonts w:cs="Calibri"/>
          <w:szCs w:val="24"/>
          <w:lang w:eastAsia="pl-PL"/>
        </w:rPr>
        <w:t>przeddyplomowym</w:t>
      </w:r>
      <w:proofErr w:type="spellEnd"/>
      <w:r w:rsidR="00FC44DF" w:rsidRPr="000F792E">
        <w:rPr>
          <w:rFonts w:cs="Calibri"/>
          <w:szCs w:val="24"/>
          <w:lang w:eastAsia="pl-PL"/>
        </w:rPr>
        <w:t xml:space="preserve"> i / lub podyplomowym, w zawodach medycznych w powiązaniu z udzielaniem świadczeń zdrowotnych i promocji zdrowia.</w:t>
      </w:r>
    </w:p>
    <w:p w14:paraId="67898A8B" w14:textId="77777777" w:rsidR="003F2EF8" w:rsidRPr="00640BC2" w:rsidRDefault="003F2EF8" w:rsidP="00CF081B">
      <w:pPr>
        <w:pStyle w:val="Akapitzlist"/>
        <w:tabs>
          <w:tab w:val="left" w:pos="709"/>
        </w:tabs>
        <w:ind w:left="-284" w:firstLine="0"/>
        <w:jc w:val="left"/>
        <w:rPr>
          <w:rFonts w:ascii="Arial" w:hAnsi="Arial" w:cs="Arial"/>
          <w:b/>
          <w:szCs w:val="24"/>
          <w:lang w:eastAsia="pl-PL"/>
        </w:rPr>
      </w:pPr>
      <w:r w:rsidRPr="00163557">
        <w:rPr>
          <w:rFonts w:cs="Calibri"/>
          <w:b/>
          <w:bCs/>
          <w:color w:val="000000"/>
          <w:szCs w:val="24"/>
          <w:lang w:eastAsia="pl-PL"/>
        </w:rPr>
        <w:t xml:space="preserve">Innowacja </w:t>
      </w:r>
    </w:p>
    <w:p w14:paraId="247B86CC" w14:textId="5DF641A6" w:rsidR="002F3866" w:rsidRPr="000F792E" w:rsidRDefault="002F3866" w:rsidP="00CF081B">
      <w:pPr>
        <w:autoSpaceDE w:val="0"/>
        <w:autoSpaceDN w:val="0"/>
        <w:adjustRightInd w:val="0"/>
        <w:spacing w:before="0" w:beforeAutospacing="0" w:after="0" w:afterAutospacing="0"/>
        <w:ind w:left="-284"/>
        <w:jc w:val="both"/>
        <w:rPr>
          <w:rFonts w:cs="Calibri"/>
          <w:szCs w:val="24"/>
          <w:lang w:eastAsia="pl-PL"/>
        </w:rPr>
      </w:pPr>
      <w:r w:rsidRPr="000F792E">
        <w:rPr>
          <w:rFonts w:cs="Calibri"/>
          <w:szCs w:val="24"/>
          <w:lang w:eastAsia="pl-PL"/>
        </w:rPr>
        <w:t>Należy wskazać jakie innowacyjne</w:t>
      </w:r>
      <w:r w:rsidRPr="000F792E">
        <w:rPr>
          <w:rStyle w:val="Odwoanieprzypisudolnego"/>
          <w:rFonts w:cs="Calibri"/>
          <w:szCs w:val="24"/>
          <w:lang w:eastAsia="pl-PL"/>
        </w:rPr>
        <w:footnoteReference w:id="41"/>
      </w:r>
      <w:r w:rsidRPr="000F792E">
        <w:rPr>
          <w:rFonts w:cs="Calibri"/>
          <w:szCs w:val="24"/>
          <w:lang w:eastAsia="pl-PL"/>
        </w:rPr>
        <w:t xml:space="preserve"> działania / rozw</w:t>
      </w:r>
      <w:r w:rsidR="005407BA" w:rsidRPr="000F792E">
        <w:rPr>
          <w:rFonts w:cs="Calibri"/>
          <w:szCs w:val="24"/>
          <w:lang w:eastAsia="pl-PL"/>
        </w:rPr>
        <w:t>iązania, związane z zakupem wyrobów medycznych i / lub wykonaniem robót budowlanych stanowiący</w:t>
      </w:r>
      <w:r w:rsidR="001D60DD" w:rsidRPr="000F792E">
        <w:rPr>
          <w:rFonts w:cs="Calibri"/>
          <w:szCs w:val="24"/>
          <w:lang w:eastAsia="pl-PL"/>
        </w:rPr>
        <w:t>ch</w:t>
      </w:r>
      <w:r w:rsidR="005407BA" w:rsidRPr="000F792E">
        <w:rPr>
          <w:rFonts w:cs="Calibri"/>
          <w:szCs w:val="24"/>
          <w:lang w:eastAsia="pl-PL"/>
        </w:rPr>
        <w:t xml:space="preserve"> przedmiot projektu</w:t>
      </w:r>
      <w:r w:rsidR="001D60DD" w:rsidRPr="000F792E">
        <w:rPr>
          <w:rFonts w:cs="Calibri"/>
          <w:szCs w:val="24"/>
          <w:lang w:eastAsia="pl-PL"/>
        </w:rPr>
        <w:t xml:space="preserve"> objętego dofinansowaniem,</w:t>
      </w:r>
      <w:r w:rsidR="005407BA" w:rsidRPr="000F792E">
        <w:rPr>
          <w:rFonts w:cs="Calibri"/>
          <w:szCs w:val="24"/>
          <w:lang w:eastAsia="pl-PL"/>
        </w:rPr>
        <w:t xml:space="preserve"> zostaną osiągnięte w wyniku realizacji projektu.</w:t>
      </w:r>
    </w:p>
    <w:p w14:paraId="48EF4E0C" w14:textId="77777777" w:rsidR="00163557" w:rsidRPr="00640BC2" w:rsidRDefault="00163557" w:rsidP="00E7715F">
      <w:pPr>
        <w:pStyle w:val="Akapitzlist"/>
        <w:keepNext/>
        <w:tabs>
          <w:tab w:val="left" w:pos="709"/>
        </w:tabs>
        <w:ind w:left="-284" w:firstLine="0"/>
        <w:jc w:val="left"/>
        <w:rPr>
          <w:rFonts w:ascii="Arial" w:hAnsi="Arial" w:cs="Arial"/>
          <w:b/>
          <w:szCs w:val="24"/>
          <w:lang w:eastAsia="pl-PL"/>
        </w:rPr>
      </w:pPr>
      <w:r w:rsidRPr="00640BC2">
        <w:rPr>
          <w:rFonts w:cs="Calibri"/>
          <w:b/>
          <w:bCs/>
          <w:color w:val="000000"/>
          <w:szCs w:val="24"/>
          <w:lang w:eastAsia="pl-PL"/>
        </w:rPr>
        <w:t xml:space="preserve">Rewitalizacyjny charakter projektu </w:t>
      </w:r>
    </w:p>
    <w:p w14:paraId="3654D6E1" w14:textId="2E60FBEB" w:rsidR="009B1068" w:rsidRPr="000F792E" w:rsidRDefault="009B1068" w:rsidP="001B37A5">
      <w:pPr>
        <w:autoSpaceDE w:val="0"/>
        <w:autoSpaceDN w:val="0"/>
        <w:adjustRightInd w:val="0"/>
        <w:spacing w:before="0" w:beforeAutospacing="0" w:after="0" w:afterAutospacing="0"/>
        <w:ind w:left="-284"/>
        <w:jc w:val="both"/>
        <w:rPr>
          <w:rFonts w:cs="Calibri"/>
          <w:szCs w:val="24"/>
          <w:lang w:eastAsia="pl-PL"/>
        </w:rPr>
      </w:pPr>
      <w:r w:rsidRPr="000F792E">
        <w:rPr>
          <w:rFonts w:cs="Calibri"/>
          <w:szCs w:val="24"/>
          <w:lang w:eastAsia="pl-PL"/>
        </w:rPr>
        <w:t>Należy wskazać czy projekt jest lub będzie objęty Programem Rewitalizacji oraz podać numer i nazwę uchwały p</w:t>
      </w:r>
      <w:r w:rsidR="00A50541" w:rsidRPr="000F792E">
        <w:rPr>
          <w:rFonts w:cs="Calibri"/>
          <w:szCs w:val="24"/>
          <w:lang w:eastAsia="pl-PL"/>
        </w:rPr>
        <w:t>rzyjętej</w:t>
      </w:r>
      <w:r w:rsidRPr="000F792E">
        <w:rPr>
          <w:rFonts w:cs="Calibri"/>
          <w:szCs w:val="24"/>
          <w:lang w:eastAsia="pl-PL"/>
        </w:rPr>
        <w:t xml:space="preserve"> w tym zakresie przez </w:t>
      </w:r>
      <w:r w:rsidR="00227A12" w:rsidRPr="000F792E">
        <w:rPr>
          <w:rFonts w:cs="Calibri"/>
          <w:szCs w:val="24"/>
          <w:lang w:eastAsia="pl-PL"/>
        </w:rPr>
        <w:t xml:space="preserve">właściwy </w:t>
      </w:r>
      <w:r w:rsidR="00A50541" w:rsidRPr="000F792E">
        <w:rPr>
          <w:rFonts w:cs="Calibri"/>
          <w:szCs w:val="24"/>
          <w:lang w:eastAsia="pl-PL"/>
        </w:rPr>
        <w:t>organ jednostki samorządu terytorialnego na terenie którego realizowany będzie projekt objęty dofinansowaniem.</w:t>
      </w:r>
    </w:p>
    <w:p w14:paraId="18D825DF" w14:textId="77777777" w:rsidR="006A54DE" w:rsidRPr="00EB7EAA" w:rsidRDefault="005F12CF" w:rsidP="00265A33">
      <w:pPr>
        <w:pStyle w:val="Nagwek1"/>
        <w:numPr>
          <w:ilvl w:val="0"/>
          <w:numId w:val="17"/>
        </w:numPr>
        <w:jc w:val="both"/>
      </w:pPr>
      <w:bookmarkStart w:id="38" w:name="_Toc21079605"/>
      <w:r w:rsidRPr="00EB7EAA">
        <w:lastRenderedPageBreak/>
        <w:t>Analiza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bookmarkEnd w:id="38"/>
    </w:p>
    <w:p w14:paraId="373198EE" w14:textId="77777777" w:rsidR="006E4C4C" w:rsidRPr="00EB7EAA" w:rsidRDefault="006E4C4C" w:rsidP="00186C6D">
      <w:pPr>
        <w:keepNext/>
        <w:jc w:val="both"/>
        <w:rPr>
          <w:szCs w:val="24"/>
        </w:rPr>
      </w:pPr>
      <w:r w:rsidRPr="00EB7EAA">
        <w:rPr>
          <w:szCs w:val="24"/>
        </w:rPr>
        <w:t>Obowiązek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wymogami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dotyczącymi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zachowania,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poprawy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środowiska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naturalnego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przepisów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powszechnie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obowiązującego.</w:t>
      </w:r>
      <w:r w:rsidR="00656606">
        <w:rPr>
          <w:szCs w:val="24"/>
        </w:rPr>
        <w:t xml:space="preserve"> </w:t>
      </w:r>
    </w:p>
    <w:p w14:paraId="04C4AFCA" w14:textId="77777777" w:rsidR="006A54DE" w:rsidRPr="00EB7EAA" w:rsidRDefault="00A14BBB" w:rsidP="00265A33">
      <w:pPr>
        <w:pStyle w:val="Nagwek2"/>
        <w:numPr>
          <w:ilvl w:val="1"/>
          <w:numId w:val="17"/>
        </w:numPr>
        <w:spacing w:before="240" w:beforeAutospacing="0" w:after="60"/>
        <w:ind w:left="426"/>
        <w:jc w:val="both"/>
        <w:rPr>
          <w:i/>
        </w:rPr>
      </w:pPr>
      <w:bookmarkStart w:id="39" w:name="_Toc21079606"/>
      <w:r w:rsidRPr="00EB7EAA">
        <w:t>Ocena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bookmarkEnd w:id="39"/>
      <w:r w:rsidR="00656606">
        <w:t xml:space="preserve"> </w:t>
      </w:r>
    </w:p>
    <w:p w14:paraId="08989D3F" w14:textId="77777777" w:rsidR="00A13BE0" w:rsidRPr="00EB7EAA" w:rsidRDefault="003251C7" w:rsidP="00265A33">
      <w:pPr>
        <w:pStyle w:val="Akapitzlist"/>
        <w:numPr>
          <w:ilvl w:val="0"/>
          <w:numId w:val="19"/>
        </w:numPr>
      </w:pPr>
      <w:r w:rsidRPr="00EB7EAA">
        <w:t>W</w:t>
      </w:r>
      <w:r w:rsidR="00656606">
        <w:t xml:space="preserve"> </w:t>
      </w:r>
      <w:r w:rsidR="0038225A" w:rsidRPr="00EB7EAA">
        <w:t>pod</w:t>
      </w:r>
      <w:r w:rsidR="00113E17"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opisać</w:t>
      </w:r>
      <w:r w:rsidR="00656606">
        <w:t xml:space="preserve"> </w:t>
      </w:r>
      <w:r w:rsidRPr="00EB7EAA">
        <w:t>przebieg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stopień</w:t>
      </w:r>
      <w:r w:rsidR="00656606">
        <w:t xml:space="preserve"> </w:t>
      </w:r>
      <w:r w:rsidRPr="00EB7EAA">
        <w:t>zaawansowania</w:t>
      </w:r>
      <w:r w:rsidR="00656606">
        <w:t xml:space="preserve"> </w:t>
      </w:r>
      <w:r w:rsidRPr="00EB7EAA">
        <w:t>procedury</w:t>
      </w:r>
      <w:r w:rsidR="00656606">
        <w:t xml:space="preserve"> </w:t>
      </w:r>
      <w:r w:rsidRPr="00EB7EAA">
        <w:t>związanej</w:t>
      </w:r>
      <w:r w:rsidR="00656606">
        <w:t xml:space="preserve"> </w:t>
      </w:r>
      <w:r w:rsidRPr="00EB7EAA">
        <w:t>z</w:t>
      </w:r>
      <w:r w:rsidR="00656606">
        <w:t xml:space="preserve"> </w:t>
      </w:r>
      <w:r w:rsidR="00A13BE0" w:rsidRPr="00EB7EAA">
        <w:t>oceną</w:t>
      </w:r>
      <w:r w:rsidR="00656606">
        <w:t xml:space="preserve"> </w:t>
      </w:r>
      <w:r w:rsidR="00A13BE0" w:rsidRPr="00EB7EAA">
        <w:t>oddziaływania</w:t>
      </w:r>
      <w:r w:rsidR="00656606">
        <w:t xml:space="preserve"> </w:t>
      </w:r>
      <w:r w:rsidR="00A13BE0" w:rsidRPr="00EB7EAA">
        <w:t>inwestycji</w:t>
      </w:r>
      <w:r w:rsidR="00656606">
        <w:t xml:space="preserve"> </w:t>
      </w:r>
      <w:r w:rsidR="00A13BE0" w:rsidRPr="00EB7EAA">
        <w:t>na</w:t>
      </w:r>
      <w:r w:rsidR="00656606">
        <w:t xml:space="preserve"> </w:t>
      </w:r>
      <w:r w:rsidR="00A13BE0" w:rsidRPr="00EB7EAA">
        <w:t>środowisko</w:t>
      </w:r>
      <w:r w:rsidR="00656606">
        <w:t xml:space="preserve"> </w:t>
      </w:r>
      <w:r w:rsidR="00A13BE0" w:rsidRPr="00EB7EAA">
        <w:t>(OOŚ)</w:t>
      </w:r>
      <w:r w:rsidRPr="00EB7EAA">
        <w:t>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opisać</w:t>
      </w:r>
      <w:r w:rsidR="00656606">
        <w:t xml:space="preserve"> </w:t>
      </w:r>
      <w:r w:rsidRPr="00EB7EAA">
        <w:t>procedurę</w:t>
      </w:r>
      <w:r w:rsidR="00656606">
        <w:t xml:space="preserve"> </w:t>
      </w:r>
      <w:r w:rsidRPr="00EB7EAA">
        <w:t>kwalifikowania</w:t>
      </w:r>
      <w:r w:rsidR="00656606">
        <w:t xml:space="preserve"> </w:t>
      </w:r>
      <w:r w:rsidRPr="00EB7EAA">
        <w:t>przedsięwzięcia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obowiązku</w:t>
      </w:r>
      <w:r w:rsidR="00656606">
        <w:t xml:space="preserve"> </w:t>
      </w:r>
      <w:r w:rsidRPr="00EB7EAA">
        <w:t>przeprowadzenia</w:t>
      </w:r>
      <w:r w:rsidR="00656606">
        <w:t xml:space="preserve"> </w:t>
      </w:r>
      <w:r w:rsidR="00A13BE0" w:rsidRPr="00EB7EAA">
        <w:t>OOŚ</w:t>
      </w:r>
      <w:r w:rsidR="00656606">
        <w:t xml:space="preserve"> </w:t>
      </w:r>
      <w:r w:rsidRPr="00EB7EAA">
        <w:t>zgodnie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576398">
        <w:rPr>
          <w:i/>
        </w:rPr>
        <w:t>ustawą</w:t>
      </w:r>
      <w:r w:rsidR="00656606">
        <w:rPr>
          <w:i/>
        </w:rPr>
        <w:t xml:space="preserve"> </w:t>
      </w:r>
      <w:r w:rsidRPr="00576398">
        <w:rPr>
          <w:i/>
        </w:rPr>
        <w:t>z</w:t>
      </w:r>
      <w:r w:rsidR="00656606">
        <w:rPr>
          <w:i/>
        </w:rPr>
        <w:t xml:space="preserve"> </w:t>
      </w:r>
      <w:r w:rsidRPr="00576398">
        <w:rPr>
          <w:i/>
        </w:rPr>
        <w:t>dnia</w:t>
      </w:r>
      <w:r w:rsidR="00656606">
        <w:rPr>
          <w:i/>
        </w:rPr>
        <w:t xml:space="preserve"> </w:t>
      </w:r>
      <w:r w:rsidRPr="00576398">
        <w:rPr>
          <w:i/>
        </w:rPr>
        <w:t>3</w:t>
      </w:r>
      <w:r w:rsidR="00656606">
        <w:rPr>
          <w:i/>
        </w:rPr>
        <w:t xml:space="preserve"> </w:t>
      </w:r>
      <w:r w:rsidRPr="00576398">
        <w:rPr>
          <w:i/>
        </w:rPr>
        <w:t>października</w:t>
      </w:r>
      <w:r w:rsidR="00656606">
        <w:rPr>
          <w:i/>
        </w:rPr>
        <w:t xml:space="preserve"> </w:t>
      </w:r>
      <w:r w:rsidRPr="00576398">
        <w:rPr>
          <w:i/>
        </w:rPr>
        <w:t>2008</w:t>
      </w:r>
      <w:r w:rsidR="00656606">
        <w:rPr>
          <w:i/>
        </w:rPr>
        <w:t xml:space="preserve"> </w:t>
      </w:r>
      <w:r w:rsidRPr="00576398">
        <w:rPr>
          <w:i/>
        </w:rPr>
        <w:t>r.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656606">
        <w:rPr>
          <w:i/>
        </w:rPr>
        <w:t xml:space="preserve"> </w:t>
      </w:r>
      <w:r w:rsidRPr="00576398">
        <w:rPr>
          <w:i/>
        </w:rPr>
        <w:t>udostępnianiu</w:t>
      </w:r>
      <w:r w:rsidR="00656606">
        <w:rPr>
          <w:i/>
        </w:rPr>
        <w:t xml:space="preserve"> </w:t>
      </w:r>
      <w:r w:rsidRPr="00576398">
        <w:rPr>
          <w:i/>
        </w:rPr>
        <w:t>informacji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7E21A4">
        <w:rPr>
          <w:i/>
        </w:rPr>
        <w:t> </w:t>
      </w:r>
      <w:r w:rsidRPr="00576398">
        <w:rPr>
          <w:i/>
        </w:rPr>
        <w:t>środowisku</w:t>
      </w:r>
      <w:r w:rsidR="00656606">
        <w:rPr>
          <w:i/>
        </w:rPr>
        <w:t xml:space="preserve"> </w:t>
      </w:r>
      <w:r w:rsidRPr="00576398">
        <w:rPr>
          <w:i/>
        </w:rPr>
        <w:t>i</w:t>
      </w:r>
      <w:r w:rsidR="00656606">
        <w:rPr>
          <w:i/>
        </w:rPr>
        <w:t xml:space="preserve"> </w:t>
      </w:r>
      <w:r w:rsidRPr="00576398">
        <w:rPr>
          <w:i/>
        </w:rPr>
        <w:t>jego</w:t>
      </w:r>
      <w:r w:rsidR="00656606">
        <w:rPr>
          <w:i/>
        </w:rPr>
        <w:t xml:space="preserve"> </w:t>
      </w:r>
      <w:r w:rsidRPr="00576398">
        <w:rPr>
          <w:i/>
        </w:rPr>
        <w:t>ochronie,</w:t>
      </w:r>
      <w:r w:rsidR="00656606">
        <w:rPr>
          <w:i/>
        </w:rPr>
        <w:t xml:space="preserve"> </w:t>
      </w:r>
      <w:r w:rsidRPr="00576398">
        <w:rPr>
          <w:i/>
        </w:rPr>
        <w:t>udziale</w:t>
      </w:r>
      <w:r w:rsidR="00656606">
        <w:rPr>
          <w:i/>
        </w:rPr>
        <w:t xml:space="preserve"> </w:t>
      </w:r>
      <w:r w:rsidRPr="00576398">
        <w:rPr>
          <w:i/>
        </w:rPr>
        <w:t>społeczeństwa</w:t>
      </w:r>
      <w:r w:rsidR="00656606">
        <w:rPr>
          <w:i/>
        </w:rPr>
        <w:t xml:space="preserve"> </w:t>
      </w:r>
      <w:r w:rsidRPr="00576398">
        <w:rPr>
          <w:i/>
        </w:rPr>
        <w:t>w</w:t>
      </w:r>
      <w:r w:rsidR="00656606">
        <w:rPr>
          <w:i/>
        </w:rPr>
        <w:t xml:space="preserve"> </w:t>
      </w:r>
      <w:r w:rsidRPr="00576398">
        <w:rPr>
          <w:i/>
        </w:rPr>
        <w:t>ochronie</w:t>
      </w:r>
      <w:r w:rsidR="00656606">
        <w:rPr>
          <w:i/>
        </w:rPr>
        <w:t xml:space="preserve"> </w:t>
      </w:r>
      <w:r w:rsidRPr="00576398">
        <w:rPr>
          <w:i/>
        </w:rPr>
        <w:t>środowiska</w:t>
      </w:r>
      <w:r w:rsidR="00656606">
        <w:rPr>
          <w:i/>
        </w:rPr>
        <w:t xml:space="preserve"> </w:t>
      </w:r>
      <w:r w:rsidRPr="00576398">
        <w:rPr>
          <w:i/>
        </w:rPr>
        <w:t>oraz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7E21A4">
        <w:rPr>
          <w:i/>
        </w:rPr>
        <w:t> </w:t>
      </w:r>
      <w:r w:rsidRPr="00576398">
        <w:rPr>
          <w:i/>
        </w:rPr>
        <w:t>ocenach</w:t>
      </w:r>
      <w:r w:rsidR="00656606">
        <w:rPr>
          <w:i/>
        </w:rPr>
        <w:t xml:space="preserve"> </w:t>
      </w:r>
      <w:r w:rsidRPr="00576398">
        <w:rPr>
          <w:i/>
        </w:rPr>
        <w:t>oddziaływania</w:t>
      </w:r>
      <w:r w:rsidR="00656606">
        <w:rPr>
          <w:i/>
        </w:rPr>
        <w:t xml:space="preserve"> </w:t>
      </w:r>
      <w:r w:rsidRPr="00576398">
        <w:rPr>
          <w:i/>
        </w:rPr>
        <w:t>na</w:t>
      </w:r>
      <w:r w:rsidR="00656606">
        <w:rPr>
          <w:i/>
        </w:rPr>
        <w:t xml:space="preserve"> </w:t>
      </w:r>
      <w:r w:rsidRPr="00576398">
        <w:rPr>
          <w:i/>
        </w:rPr>
        <w:t>środowisko</w:t>
      </w:r>
      <w:r w:rsidR="00656606">
        <w:t xml:space="preserve"> </w:t>
      </w:r>
      <w:r w:rsidRPr="00EB7EAA">
        <w:t>(</w:t>
      </w:r>
      <w:r w:rsidR="00D55ECA" w:rsidRPr="00EB7EAA">
        <w:t>tekst</w:t>
      </w:r>
      <w:r w:rsidR="00656606">
        <w:t xml:space="preserve"> </w:t>
      </w:r>
      <w:r w:rsidR="00D55ECA" w:rsidRPr="00EB7EAA">
        <w:t>je</w:t>
      </w:r>
      <w:r w:rsidR="00576398">
        <w:t>dn.:</w:t>
      </w:r>
      <w:r w:rsidR="00656606">
        <w:t xml:space="preserve"> </w:t>
      </w:r>
      <w:r w:rsidR="00576398">
        <w:t>Dz.U.</w:t>
      </w:r>
      <w:r w:rsidR="00656606">
        <w:t xml:space="preserve"> </w:t>
      </w:r>
      <w:r w:rsidR="00576398">
        <w:t>z</w:t>
      </w:r>
      <w:r w:rsidR="00656606">
        <w:t xml:space="preserve"> </w:t>
      </w:r>
      <w:r w:rsidR="00576398">
        <w:t>2013</w:t>
      </w:r>
      <w:r w:rsidR="00656606">
        <w:t xml:space="preserve"> </w:t>
      </w:r>
      <w:r w:rsidR="00576398">
        <w:t>r.</w:t>
      </w:r>
      <w:r w:rsidR="00656606">
        <w:t xml:space="preserve"> </w:t>
      </w:r>
      <w:r w:rsidR="00576398">
        <w:t>poz</w:t>
      </w:r>
      <w:r w:rsidR="00EB2A9C">
        <w:t>.</w:t>
      </w:r>
      <w:r w:rsidR="00656606">
        <w:t xml:space="preserve"> </w:t>
      </w:r>
      <w:r w:rsidR="00576398">
        <w:t>1235</w:t>
      </w:r>
      <w:r w:rsidR="00656606">
        <w:t xml:space="preserve"> </w:t>
      </w:r>
      <w:r w:rsidR="00576398">
        <w:t>z</w:t>
      </w:r>
      <w:r w:rsidR="007E21A4">
        <w:t> </w:t>
      </w:r>
      <w:proofErr w:type="spellStart"/>
      <w:r w:rsidR="00D55ECA" w:rsidRPr="00EB7EAA">
        <w:t>późn</w:t>
      </w:r>
      <w:proofErr w:type="spellEnd"/>
      <w:r w:rsidR="00D55ECA" w:rsidRPr="00EB7EAA">
        <w:t>.</w:t>
      </w:r>
      <w:r w:rsidR="00656606">
        <w:t xml:space="preserve"> </w:t>
      </w:r>
      <w:r w:rsidR="00D55ECA" w:rsidRPr="00EB7EAA">
        <w:t>zm.)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="00D55ECA" w:rsidRPr="00576398">
        <w:rPr>
          <w:i/>
        </w:rPr>
        <w:t>r</w:t>
      </w:r>
      <w:r w:rsidRPr="00576398">
        <w:rPr>
          <w:i/>
        </w:rPr>
        <w:t>ozporządzeniem</w:t>
      </w:r>
      <w:r w:rsidR="00656606">
        <w:rPr>
          <w:i/>
        </w:rPr>
        <w:t xml:space="preserve"> </w:t>
      </w:r>
      <w:r w:rsidRPr="00576398">
        <w:rPr>
          <w:i/>
        </w:rPr>
        <w:t>Rady</w:t>
      </w:r>
      <w:r w:rsidR="00656606">
        <w:rPr>
          <w:i/>
        </w:rPr>
        <w:t xml:space="preserve"> </w:t>
      </w:r>
      <w:r w:rsidRPr="00576398">
        <w:rPr>
          <w:i/>
        </w:rPr>
        <w:t>Ministr</w:t>
      </w:r>
      <w:r w:rsidR="00AC4A0D">
        <w:rPr>
          <w:i/>
        </w:rPr>
        <w:t>ów</w:t>
      </w:r>
      <w:r w:rsidR="00656606">
        <w:rPr>
          <w:i/>
        </w:rPr>
        <w:t xml:space="preserve"> </w:t>
      </w:r>
      <w:r w:rsidR="00AC4A0D">
        <w:rPr>
          <w:i/>
        </w:rPr>
        <w:t>z</w:t>
      </w:r>
      <w:r w:rsidR="00656606">
        <w:rPr>
          <w:i/>
        </w:rPr>
        <w:t xml:space="preserve"> </w:t>
      </w:r>
      <w:r w:rsidR="00AC4A0D">
        <w:rPr>
          <w:i/>
        </w:rPr>
        <w:t>dnia</w:t>
      </w:r>
      <w:r w:rsidR="00656606">
        <w:rPr>
          <w:i/>
        </w:rPr>
        <w:t xml:space="preserve"> </w:t>
      </w:r>
      <w:r w:rsidR="00AC4A0D">
        <w:rPr>
          <w:i/>
        </w:rPr>
        <w:t>9</w:t>
      </w:r>
      <w:r w:rsidR="00656606">
        <w:rPr>
          <w:i/>
        </w:rPr>
        <w:t xml:space="preserve"> </w:t>
      </w:r>
      <w:r w:rsidR="00AC4A0D">
        <w:rPr>
          <w:i/>
        </w:rPr>
        <w:t>listopada</w:t>
      </w:r>
      <w:r w:rsidR="00656606">
        <w:rPr>
          <w:i/>
        </w:rPr>
        <w:t xml:space="preserve"> </w:t>
      </w:r>
      <w:r w:rsidR="00AC4A0D">
        <w:rPr>
          <w:i/>
        </w:rPr>
        <w:t>2010</w:t>
      </w:r>
      <w:r w:rsidR="00656606">
        <w:rPr>
          <w:i/>
        </w:rPr>
        <w:t xml:space="preserve"> </w:t>
      </w:r>
      <w:r w:rsidR="00AC4A0D">
        <w:rPr>
          <w:i/>
        </w:rPr>
        <w:t>r.</w:t>
      </w:r>
      <w:r w:rsidR="00656606">
        <w:rPr>
          <w:i/>
        </w:rPr>
        <w:t xml:space="preserve"> </w:t>
      </w:r>
      <w:r w:rsidR="00AC4A0D">
        <w:rPr>
          <w:i/>
        </w:rPr>
        <w:t>w</w:t>
      </w:r>
      <w:r w:rsidR="008740FE">
        <w:rPr>
          <w:i/>
        </w:rPr>
        <w:t> </w:t>
      </w:r>
      <w:r w:rsidRPr="00576398">
        <w:rPr>
          <w:i/>
        </w:rPr>
        <w:t>sprawie</w:t>
      </w:r>
      <w:r w:rsidR="00656606">
        <w:rPr>
          <w:i/>
        </w:rPr>
        <w:t xml:space="preserve"> </w:t>
      </w:r>
      <w:r w:rsidRPr="00576398">
        <w:rPr>
          <w:i/>
        </w:rPr>
        <w:t>przedsięwzięć</w:t>
      </w:r>
      <w:r w:rsidR="00656606">
        <w:rPr>
          <w:i/>
        </w:rPr>
        <w:t xml:space="preserve"> </w:t>
      </w:r>
      <w:r w:rsidRPr="00576398">
        <w:rPr>
          <w:i/>
        </w:rPr>
        <w:t>mogących</w:t>
      </w:r>
      <w:r w:rsidR="00656606">
        <w:rPr>
          <w:i/>
        </w:rPr>
        <w:t xml:space="preserve"> </w:t>
      </w:r>
      <w:r w:rsidRPr="00576398">
        <w:rPr>
          <w:i/>
        </w:rPr>
        <w:t>znacząco</w:t>
      </w:r>
      <w:r w:rsidR="00656606">
        <w:rPr>
          <w:i/>
        </w:rPr>
        <w:t xml:space="preserve"> </w:t>
      </w:r>
      <w:r w:rsidRPr="00576398">
        <w:rPr>
          <w:i/>
        </w:rPr>
        <w:t>oddziaływać</w:t>
      </w:r>
      <w:r w:rsidR="00656606">
        <w:rPr>
          <w:i/>
        </w:rPr>
        <w:t xml:space="preserve"> </w:t>
      </w:r>
      <w:r w:rsidRPr="00576398">
        <w:rPr>
          <w:i/>
        </w:rPr>
        <w:t>na</w:t>
      </w:r>
      <w:r w:rsidR="00656606">
        <w:rPr>
          <w:i/>
        </w:rPr>
        <w:t xml:space="preserve"> </w:t>
      </w:r>
      <w:r w:rsidRPr="00576398">
        <w:rPr>
          <w:i/>
        </w:rPr>
        <w:t>środowisko</w:t>
      </w:r>
      <w:r w:rsidR="00656606">
        <w:rPr>
          <w:i/>
        </w:rPr>
        <w:t xml:space="preserve"> </w:t>
      </w:r>
      <w:r w:rsidRPr="00EB7EAA">
        <w:t>(Dz.</w:t>
      </w:r>
      <w:r w:rsidR="00656606">
        <w:t xml:space="preserve"> </w:t>
      </w:r>
      <w:r w:rsidRPr="00EB7EAA">
        <w:t>U.</w:t>
      </w:r>
      <w:r w:rsidR="00656606">
        <w:t xml:space="preserve"> </w:t>
      </w:r>
      <w:r w:rsidRPr="00EB7EAA">
        <w:t>2010</w:t>
      </w:r>
      <w:r w:rsidR="00656606">
        <w:t xml:space="preserve"> </w:t>
      </w:r>
      <w:r w:rsidRPr="00EB7EAA">
        <w:t>Nr</w:t>
      </w:r>
      <w:r w:rsidR="00656606">
        <w:t xml:space="preserve"> </w:t>
      </w:r>
      <w:r w:rsidRPr="00EB7EAA">
        <w:t>213</w:t>
      </w:r>
      <w:r w:rsidR="00656606">
        <w:t xml:space="preserve"> </w:t>
      </w:r>
      <w:r w:rsidRPr="00EB7EAA">
        <w:t>poz.</w:t>
      </w:r>
      <w:r w:rsidR="00656606">
        <w:t xml:space="preserve"> </w:t>
      </w:r>
      <w:r w:rsidRPr="00EB7EAA">
        <w:t>1397</w:t>
      </w:r>
      <w:r w:rsidR="00656606">
        <w:t xml:space="preserve"> </w:t>
      </w:r>
      <w:r w:rsidRPr="00EB7EAA">
        <w:t>z</w:t>
      </w:r>
      <w:r w:rsidR="00656606">
        <w:t xml:space="preserve"> </w:t>
      </w:r>
      <w:proofErr w:type="spellStart"/>
      <w:r w:rsidRPr="00EB7EAA">
        <w:t>pó</w:t>
      </w:r>
      <w:r w:rsidR="00EB2A9C">
        <w:t>ź</w:t>
      </w:r>
      <w:r w:rsidRPr="00EB7EAA">
        <w:t>n</w:t>
      </w:r>
      <w:proofErr w:type="spellEnd"/>
      <w:r w:rsidRPr="00EB7EAA">
        <w:t>.</w:t>
      </w:r>
      <w:r w:rsidR="00656606">
        <w:t xml:space="preserve"> </w:t>
      </w:r>
      <w:r w:rsidRPr="00EB7EAA">
        <w:t>zm.)</w:t>
      </w:r>
      <w:r w:rsidR="00A13BE0" w:rsidRPr="00576398">
        <w:rPr>
          <w:i/>
        </w:rPr>
        <w:t>.</w:t>
      </w:r>
      <w:r w:rsidR="00656606">
        <w:rPr>
          <w:i/>
        </w:rPr>
        <w:t xml:space="preserve"> </w:t>
      </w:r>
    </w:p>
    <w:p w14:paraId="61D52A97" w14:textId="77777777" w:rsidR="006A54DE" w:rsidRPr="00EB7EAA" w:rsidRDefault="00A13BE0" w:rsidP="00265A33">
      <w:pPr>
        <w:pStyle w:val="Akapitzlist"/>
        <w:numPr>
          <w:ilvl w:val="0"/>
          <w:numId w:val="19"/>
        </w:numPr>
      </w:pP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przeprowadzonego</w:t>
      </w:r>
      <w:r w:rsidR="00656606">
        <w:t xml:space="preserve"> </w:t>
      </w:r>
      <w:r w:rsidRPr="00EB7EAA">
        <w:t>już</w:t>
      </w:r>
      <w:r w:rsidR="00656606">
        <w:t xml:space="preserve"> </w:t>
      </w:r>
      <w:r w:rsidRPr="00EB7EAA">
        <w:t>postępowania</w:t>
      </w:r>
      <w:r w:rsidR="00656606">
        <w:t xml:space="preserve"> </w:t>
      </w:r>
      <w:r w:rsidRPr="00EB7EAA">
        <w:t>OOŚ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posiadania</w:t>
      </w:r>
      <w:r w:rsidR="00656606">
        <w:t xml:space="preserve"> </w:t>
      </w:r>
      <w:r w:rsidRPr="00EB7EAA">
        <w:t>stosownych</w:t>
      </w:r>
      <w:r w:rsidR="00656606">
        <w:t xml:space="preserve"> </w:t>
      </w:r>
      <w:r w:rsidRPr="00EB7EAA">
        <w:t>dokumentów</w:t>
      </w:r>
      <w:r w:rsidR="00656606">
        <w:t xml:space="preserve"> </w:t>
      </w:r>
      <w:r w:rsidRPr="00EB7EAA">
        <w:t>(m.in.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środowiskowych</w:t>
      </w:r>
      <w:r w:rsidR="00656606">
        <w:t xml:space="preserve"> </w:t>
      </w:r>
      <w:r w:rsidRPr="00EB7EAA">
        <w:t>uwarunkowaniach,</w:t>
      </w:r>
      <w:r w:rsidR="00656606">
        <w:t xml:space="preserve"> </w:t>
      </w:r>
      <w:r w:rsidRPr="00EB7EAA">
        <w:t>postanowień,</w:t>
      </w:r>
      <w:r w:rsidR="00656606">
        <w:t xml:space="preserve"> </w:t>
      </w:r>
      <w:r w:rsidRPr="00EB7EAA">
        <w:t>uzgodnień</w:t>
      </w:r>
      <w:r w:rsidR="00C67A59" w:rsidRPr="00EB7EAA">
        <w:t>,</w:t>
      </w:r>
      <w:r w:rsidR="00656606">
        <w:t xml:space="preserve"> </w:t>
      </w:r>
      <w:r w:rsidR="00C67A59" w:rsidRPr="00EB7EAA">
        <w:t>raportu</w:t>
      </w:r>
      <w:r w:rsidR="00656606">
        <w:t xml:space="preserve"> </w:t>
      </w:r>
      <w:r w:rsidR="00C67A59" w:rsidRPr="00EB7EAA">
        <w:t>OOŚ,</w:t>
      </w:r>
      <w:r w:rsidR="00656606">
        <w:t xml:space="preserve"> </w:t>
      </w:r>
      <w:r w:rsidR="00C67A59" w:rsidRPr="00EB7EAA">
        <w:t>itp.</w:t>
      </w:r>
      <w:r w:rsidRPr="00EB7EAA">
        <w:t>)</w:t>
      </w:r>
      <w:r w:rsidR="00656606">
        <w:t xml:space="preserve"> </w:t>
      </w:r>
      <w:r w:rsidR="00C67A59" w:rsidRPr="00EB7EAA">
        <w:t>proszę</w:t>
      </w:r>
      <w:r w:rsidR="00656606">
        <w:t xml:space="preserve"> </w:t>
      </w:r>
      <w:r w:rsidRPr="00EB7EAA">
        <w:t>je</w:t>
      </w:r>
      <w:r w:rsidR="00656606">
        <w:t xml:space="preserve"> </w:t>
      </w:r>
      <w:r w:rsidRPr="00EB7EAA">
        <w:t>wymienić</w:t>
      </w:r>
      <w:r w:rsidR="00656606">
        <w:t xml:space="preserve"> </w:t>
      </w:r>
      <w:r w:rsidR="00C67A59" w:rsidRPr="00EB7EAA">
        <w:t>podając</w:t>
      </w:r>
      <w:r w:rsidR="00656606">
        <w:t xml:space="preserve"> </w:t>
      </w:r>
      <w:r w:rsidR="00C67A59" w:rsidRPr="00EB7EAA">
        <w:t>znak</w:t>
      </w:r>
      <w:r w:rsidR="00656606">
        <w:t xml:space="preserve"> </w:t>
      </w:r>
      <w:r w:rsidR="00C67A59" w:rsidRPr="00EB7EAA">
        <w:t>dokumentu/pisma</w:t>
      </w:r>
      <w:r w:rsidR="00656606">
        <w:t xml:space="preserve"> </w:t>
      </w:r>
      <w:r w:rsidR="00C67A59" w:rsidRPr="00EB7EAA">
        <w:t>i</w:t>
      </w:r>
      <w:r w:rsidR="00656606">
        <w:t xml:space="preserve"> </w:t>
      </w:r>
      <w:r w:rsidR="00C67A59" w:rsidRPr="00EB7EAA">
        <w:t>datę</w:t>
      </w:r>
      <w:r w:rsidR="00656606">
        <w:t xml:space="preserve"> </w:t>
      </w:r>
      <w:r w:rsidR="00C67A59" w:rsidRPr="00EB7EAA">
        <w:t>jego</w:t>
      </w:r>
      <w:r w:rsidR="00656606">
        <w:t xml:space="preserve"> </w:t>
      </w:r>
      <w:r w:rsidR="00C67A59" w:rsidRPr="00EB7EAA">
        <w:t>uzyskania.</w:t>
      </w:r>
    </w:p>
    <w:p w14:paraId="49CFBF3E" w14:textId="77777777" w:rsidR="006A54DE" w:rsidRPr="00576398" w:rsidRDefault="00C67A59" w:rsidP="00265A33">
      <w:pPr>
        <w:pStyle w:val="Akapitzlist"/>
        <w:numPr>
          <w:ilvl w:val="0"/>
          <w:numId w:val="19"/>
        </w:numPr>
        <w:rPr>
          <w:i/>
        </w:rPr>
      </w:pPr>
      <w:r w:rsidRPr="00EB7EAA">
        <w:t>Natomiast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przypadku</w:t>
      </w:r>
      <w:r w:rsidR="00681F7F">
        <w:t>,</w:t>
      </w:r>
      <w:r w:rsidR="00656606">
        <w:t xml:space="preserve"> </w:t>
      </w:r>
      <w:r w:rsidR="006335E2" w:rsidRPr="00EB7EAA">
        <w:t>gdy</w:t>
      </w:r>
      <w:r w:rsidR="00656606">
        <w:t xml:space="preserve"> </w:t>
      </w:r>
      <w:r w:rsidRPr="00EB7EAA">
        <w:t>postępowanie</w:t>
      </w:r>
      <w:r w:rsidR="00656606">
        <w:t xml:space="preserve"> </w:t>
      </w:r>
      <w:r w:rsidR="005B50A4" w:rsidRPr="00EB7EAA">
        <w:t>OOŚ</w:t>
      </w:r>
      <w:r w:rsidR="00C35FB7" w:rsidRPr="00EB7EAA">
        <w:t>,</w:t>
      </w:r>
      <w:r w:rsidR="00656606">
        <w:t xml:space="preserve"> </w:t>
      </w:r>
      <w:r w:rsidR="00C35FB7" w:rsidRPr="00EB7EAA">
        <w:t>nie</w:t>
      </w:r>
      <w:r w:rsidR="00656606">
        <w:t xml:space="preserve"> </w:t>
      </w:r>
      <w:r w:rsidR="00C35FB7" w:rsidRPr="00EB7EAA">
        <w:t>zostało</w:t>
      </w:r>
      <w:r w:rsidR="00656606">
        <w:t xml:space="preserve"> </w:t>
      </w:r>
      <w:r w:rsidR="00C35FB7" w:rsidRPr="00EB7EAA">
        <w:t>przeprowadzone,</w:t>
      </w:r>
      <w:r w:rsidR="00656606">
        <w:t xml:space="preserve"> </w:t>
      </w:r>
      <w:r w:rsidR="00C35FB7" w:rsidRPr="00EB7EAA">
        <w:t>a</w:t>
      </w:r>
      <w:r w:rsidR="00681F7F">
        <w:t> </w:t>
      </w:r>
      <w:r w:rsidRPr="00EB7EAA">
        <w:t>konieczność</w:t>
      </w:r>
      <w:r w:rsidR="00656606">
        <w:t xml:space="preserve"> </w:t>
      </w:r>
      <w:r w:rsidRPr="00EB7EAA">
        <w:t>przeprowadzenia</w:t>
      </w:r>
      <w:r w:rsidR="00656606">
        <w:t xml:space="preserve"> </w:t>
      </w:r>
      <w:r w:rsidR="005B50A4" w:rsidRPr="00EB7EAA">
        <w:t>takiego</w:t>
      </w:r>
      <w:r w:rsidR="00656606">
        <w:t xml:space="preserve"> </w:t>
      </w:r>
      <w:r w:rsidRPr="00EB7EAA">
        <w:t>postępowania</w:t>
      </w:r>
      <w:r w:rsidR="00656606">
        <w:t xml:space="preserve"> </w:t>
      </w:r>
      <w:r w:rsidRPr="00EB7EAA">
        <w:t>wynika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przywołanych</w:t>
      </w:r>
      <w:r w:rsidR="00656606">
        <w:t xml:space="preserve"> </w:t>
      </w:r>
      <w:r w:rsidRPr="00EB7EAA">
        <w:t>powyżej</w:t>
      </w:r>
      <w:r w:rsidR="00656606">
        <w:t xml:space="preserve"> </w:t>
      </w:r>
      <w:r w:rsidRPr="00EB7EAA">
        <w:t>aktów</w:t>
      </w:r>
      <w:r w:rsidR="00656606">
        <w:t xml:space="preserve"> </w:t>
      </w:r>
      <w:r w:rsidRPr="00EB7EAA">
        <w:t>prawnych</w:t>
      </w:r>
      <w:r w:rsidR="00656606">
        <w:t xml:space="preserve"> </w:t>
      </w:r>
      <w:r w:rsidRPr="00EB7EAA">
        <w:t>proszę</w:t>
      </w:r>
      <w:r w:rsidR="00656606">
        <w:t xml:space="preserve"> </w:t>
      </w:r>
      <w:r w:rsidR="00A14BBB" w:rsidRPr="00EB7EAA">
        <w:t>przedstawić</w:t>
      </w:r>
      <w:r w:rsidR="00656606">
        <w:t xml:space="preserve"> </w:t>
      </w:r>
      <w:r w:rsidR="00A14BBB" w:rsidRPr="00EB7EAA">
        <w:t>informacje</w:t>
      </w:r>
      <w:r w:rsidR="005B50A4" w:rsidRPr="00EB7EAA">
        <w:t>,</w:t>
      </w:r>
      <w:r w:rsidR="00656606">
        <w:t xml:space="preserve"> </w:t>
      </w:r>
      <w:r w:rsidRPr="00EB7EAA">
        <w:t>kiedy</w:t>
      </w:r>
      <w:r w:rsidR="00656606">
        <w:t xml:space="preserve"> </w:t>
      </w:r>
      <w:r w:rsidRPr="00EB7EAA">
        <w:t>Benef</w:t>
      </w:r>
      <w:r w:rsidR="005B50A4" w:rsidRPr="00EB7EAA">
        <w:t>icjent</w:t>
      </w:r>
      <w:r w:rsidR="00656606">
        <w:t xml:space="preserve"> </w:t>
      </w:r>
      <w:r w:rsidR="005B50A4" w:rsidRPr="00EB7EAA">
        <w:t>planuje</w:t>
      </w:r>
      <w:r w:rsidR="00656606">
        <w:t xml:space="preserve"> </w:t>
      </w:r>
      <w:r w:rsidR="00C35FB7" w:rsidRPr="00EB7EAA">
        <w:t>wystąpić</w:t>
      </w:r>
      <w:r w:rsidR="00656606">
        <w:t xml:space="preserve"> </w:t>
      </w:r>
      <w:r w:rsidR="00C35FB7" w:rsidRPr="00EB7EAA">
        <w:t>z</w:t>
      </w:r>
      <w:r w:rsidR="00656606">
        <w:t xml:space="preserve"> </w:t>
      </w:r>
      <w:r w:rsidRPr="00EB7EAA">
        <w:t>wnioskiem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wydanie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="005B50A4" w:rsidRPr="00EB7EAA">
        <w:t>o</w:t>
      </w:r>
      <w:r w:rsidR="00656606">
        <w:t xml:space="preserve"> </w:t>
      </w:r>
      <w:r w:rsidR="005B50A4" w:rsidRPr="00EB7EAA">
        <w:t>środowiskowych</w:t>
      </w:r>
      <w:r w:rsidR="00656606">
        <w:t xml:space="preserve"> </w:t>
      </w:r>
      <w:r w:rsidR="005B50A4" w:rsidRPr="00EB7EAA">
        <w:t>uwarunkowaniach</w:t>
      </w:r>
      <w:r w:rsidR="00656606">
        <w:t xml:space="preserve"> </w:t>
      </w:r>
      <w:r w:rsidR="005B50A4" w:rsidRPr="00EB7EAA">
        <w:t>i</w:t>
      </w:r>
      <w:r w:rsidR="00656606">
        <w:t xml:space="preserve"> </w:t>
      </w:r>
      <w:r w:rsidR="005B50A4" w:rsidRPr="00EB7EAA">
        <w:t>do</w:t>
      </w:r>
      <w:r w:rsidR="00656606">
        <w:t xml:space="preserve"> </w:t>
      </w:r>
      <w:r w:rsidR="005B50A4" w:rsidRPr="00EB7EAA">
        <w:t>jakiej</w:t>
      </w:r>
      <w:r w:rsidR="00656606">
        <w:t xml:space="preserve"> </w:t>
      </w:r>
      <w:r w:rsidR="005B50A4" w:rsidRPr="00EB7EAA">
        <w:t>kategorii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należy</w:t>
      </w:r>
      <w:r w:rsidR="00656606">
        <w:t xml:space="preserve"> </w:t>
      </w:r>
      <w:r w:rsidR="005B50A4" w:rsidRPr="00EB7EAA">
        <w:t>analizowana</w:t>
      </w:r>
      <w:r w:rsidR="00656606">
        <w:t xml:space="preserve"> </w:t>
      </w:r>
      <w:r w:rsidR="005B50A4" w:rsidRPr="00EB7EAA">
        <w:t>inwestycja</w:t>
      </w:r>
      <w:r w:rsidR="00656606">
        <w:t xml:space="preserve"> </w:t>
      </w:r>
      <w:r w:rsidR="005B50A4" w:rsidRPr="00EB7EAA">
        <w:t>(</w:t>
      </w:r>
      <w:r w:rsidR="002050AE" w:rsidRPr="00EB7EAA">
        <w:t>np.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mogących</w:t>
      </w:r>
      <w:r w:rsidR="00656606">
        <w:t xml:space="preserve"> </w:t>
      </w:r>
      <w:r w:rsidR="005B50A4" w:rsidRPr="00EB7EAA">
        <w:t>zawsze</w:t>
      </w:r>
      <w:r w:rsidR="00656606">
        <w:t xml:space="preserve"> </w:t>
      </w:r>
      <w:r w:rsidR="005B50A4" w:rsidRPr="00EB7EAA">
        <w:t>znacząco</w:t>
      </w:r>
      <w:r w:rsidR="00656606">
        <w:t xml:space="preserve"> </w:t>
      </w:r>
      <w:r w:rsidR="005B50A4" w:rsidRPr="00EB7EAA">
        <w:t>oddziaływać</w:t>
      </w:r>
      <w:r w:rsidR="00656606">
        <w:t xml:space="preserve"> </w:t>
      </w:r>
      <w:r w:rsidR="005B50A4" w:rsidRPr="00EB7EAA">
        <w:t>na</w:t>
      </w:r>
      <w:r w:rsidR="00656606">
        <w:t xml:space="preserve"> </w:t>
      </w:r>
      <w:r w:rsidR="005B50A4" w:rsidRPr="00EB7EAA">
        <w:t>środowisko</w:t>
      </w:r>
      <w:r w:rsidR="00656606">
        <w:t xml:space="preserve"> </w:t>
      </w:r>
      <w:r w:rsidR="002050AE" w:rsidRPr="00EB7EAA">
        <w:t>lub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mogących</w:t>
      </w:r>
      <w:r w:rsidR="00656606">
        <w:t xml:space="preserve"> </w:t>
      </w:r>
      <w:r w:rsidR="005B50A4" w:rsidRPr="00EB7EAA">
        <w:t>potencjalnie</w:t>
      </w:r>
      <w:r w:rsidR="00656606">
        <w:t xml:space="preserve"> </w:t>
      </w:r>
      <w:r w:rsidR="00113E17" w:rsidRPr="00EB7EAA">
        <w:t>znacząco</w:t>
      </w:r>
      <w:r w:rsidR="00656606">
        <w:t xml:space="preserve"> </w:t>
      </w:r>
      <w:r w:rsidR="005B50A4" w:rsidRPr="00EB7EAA">
        <w:t>oddziaływać</w:t>
      </w:r>
      <w:r w:rsidR="00656606">
        <w:t xml:space="preserve"> </w:t>
      </w:r>
      <w:r w:rsidR="005B50A4" w:rsidRPr="00EB7EAA">
        <w:t>na</w:t>
      </w:r>
      <w:r w:rsidR="00656606">
        <w:t xml:space="preserve"> </w:t>
      </w:r>
      <w:r w:rsidR="005B50A4" w:rsidRPr="00EB7EAA">
        <w:t>środowisko</w:t>
      </w:r>
      <w:r w:rsidR="00113E17" w:rsidRPr="00EB7EAA">
        <w:t>,</w:t>
      </w:r>
      <w:r w:rsidR="00656606">
        <w:t xml:space="preserve"> </w:t>
      </w:r>
      <w:r w:rsidR="00113E17" w:rsidRPr="00EB7EAA">
        <w:t>o</w:t>
      </w:r>
      <w:r w:rsidR="00656606">
        <w:t xml:space="preserve"> </w:t>
      </w:r>
      <w:r w:rsidR="00113E17" w:rsidRPr="00EB7EAA">
        <w:t>których</w:t>
      </w:r>
      <w:r w:rsidR="00656606">
        <w:t xml:space="preserve"> </w:t>
      </w:r>
      <w:r w:rsidR="00113E17" w:rsidRPr="00EB7EAA">
        <w:t>mowa</w:t>
      </w:r>
      <w:r w:rsidR="00656606">
        <w:t xml:space="preserve"> </w:t>
      </w:r>
      <w:r w:rsidR="00113E17" w:rsidRPr="00EB7EAA">
        <w:t>w</w:t>
      </w:r>
      <w:r w:rsidR="00656606">
        <w:t xml:space="preserve"> </w:t>
      </w:r>
      <w:r w:rsidR="00113E17" w:rsidRPr="00576398">
        <w:rPr>
          <w:i/>
        </w:rPr>
        <w:t>Rozporządzeniu</w:t>
      </w:r>
      <w:r w:rsidR="00656606">
        <w:rPr>
          <w:i/>
        </w:rPr>
        <w:t xml:space="preserve"> </w:t>
      </w:r>
      <w:r w:rsidR="00113E17" w:rsidRPr="00576398">
        <w:rPr>
          <w:i/>
        </w:rPr>
        <w:t>Rady</w:t>
      </w:r>
      <w:r w:rsidR="00656606">
        <w:rPr>
          <w:i/>
        </w:rPr>
        <w:t xml:space="preserve"> </w:t>
      </w:r>
      <w:r w:rsidR="00113E17" w:rsidRPr="00576398">
        <w:rPr>
          <w:i/>
        </w:rPr>
        <w:t>Ministrów</w:t>
      </w:r>
      <w:r w:rsidR="00656606">
        <w:rPr>
          <w:i/>
        </w:rPr>
        <w:t xml:space="preserve"> </w:t>
      </w:r>
      <w:r w:rsidR="00113E17" w:rsidRPr="00576398">
        <w:rPr>
          <w:i/>
        </w:rPr>
        <w:t>z</w:t>
      </w:r>
      <w:r w:rsidR="00656606">
        <w:rPr>
          <w:i/>
        </w:rPr>
        <w:t xml:space="preserve"> </w:t>
      </w:r>
      <w:r w:rsidR="00113E17" w:rsidRPr="00576398">
        <w:rPr>
          <w:i/>
        </w:rPr>
        <w:t>dnia</w:t>
      </w:r>
      <w:r w:rsidR="00656606">
        <w:rPr>
          <w:i/>
        </w:rPr>
        <w:t xml:space="preserve"> </w:t>
      </w:r>
      <w:r w:rsidR="00113E17" w:rsidRPr="00576398">
        <w:rPr>
          <w:i/>
        </w:rPr>
        <w:t>9</w:t>
      </w:r>
      <w:r w:rsidR="00656606">
        <w:rPr>
          <w:i/>
        </w:rPr>
        <w:t xml:space="preserve"> </w:t>
      </w:r>
      <w:r w:rsidR="00113E17" w:rsidRPr="00576398">
        <w:rPr>
          <w:i/>
        </w:rPr>
        <w:t>listopada</w:t>
      </w:r>
      <w:r w:rsidR="00656606">
        <w:rPr>
          <w:i/>
        </w:rPr>
        <w:t xml:space="preserve"> </w:t>
      </w:r>
      <w:r w:rsidR="00113E17" w:rsidRPr="00576398">
        <w:rPr>
          <w:i/>
        </w:rPr>
        <w:t>2010</w:t>
      </w:r>
      <w:r w:rsidR="00656606">
        <w:rPr>
          <w:i/>
        </w:rPr>
        <w:t xml:space="preserve"> </w:t>
      </w:r>
      <w:r w:rsidR="00113E17" w:rsidRPr="00576398">
        <w:rPr>
          <w:i/>
        </w:rPr>
        <w:t>r.</w:t>
      </w:r>
      <w:r w:rsidR="00656606">
        <w:rPr>
          <w:i/>
        </w:rPr>
        <w:t xml:space="preserve"> </w:t>
      </w:r>
      <w:r w:rsidR="00113E17" w:rsidRPr="00576398">
        <w:rPr>
          <w:i/>
        </w:rPr>
        <w:t>w</w:t>
      </w:r>
      <w:r w:rsidR="00656606">
        <w:rPr>
          <w:i/>
        </w:rPr>
        <w:t xml:space="preserve"> </w:t>
      </w:r>
      <w:r w:rsidR="00113E17" w:rsidRPr="00576398">
        <w:rPr>
          <w:i/>
        </w:rPr>
        <w:t>sprawie</w:t>
      </w:r>
      <w:r w:rsidR="00656606">
        <w:rPr>
          <w:i/>
        </w:rPr>
        <w:t xml:space="preserve"> </w:t>
      </w:r>
      <w:r w:rsidR="00113E17" w:rsidRPr="00576398">
        <w:rPr>
          <w:i/>
        </w:rPr>
        <w:t>przedsięwzięć</w:t>
      </w:r>
      <w:r w:rsidR="00656606">
        <w:rPr>
          <w:i/>
        </w:rPr>
        <w:t xml:space="preserve"> </w:t>
      </w:r>
      <w:r w:rsidR="00113E17" w:rsidRPr="00576398">
        <w:rPr>
          <w:i/>
        </w:rPr>
        <w:t>mogących</w:t>
      </w:r>
      <w:r w:rsidR="00656606">
        <w:rPr>
          <w:i/>
        </w:rPr>
        <w:t xml:space="preserve"> </w:t>
      </w:r>
      <w:r w:rsidR="00113E17" w:rsidRPr="00576398">
        <w:rPr>
          <w:i/>
        </w:rPr>
        <w:t>znacząco</w:t>
      </w:r>
      <w:r w:rsidR="00656606">
        <w:rPr>
          <w:i/>
        </w:rPr>
        <w:t xml:space="preserve"> </w:t>
      </w:r>
      <w:r w:rsidR="00113E17" w:rsidRPr="00576398">
        <w:rPr>
          <w:i/>
        </w:rPr>
        <w:t>oddziaływać</w:t>
      </w:r>
      <w:r w:rsidR="00656606">
        <w:rPr>
          <w:i/>
        </w:rPr>
        <w:t xml:space="preserve"> </w:t>
      </w:r>
      <w:r w:rsidR="00113E17" w:rsidRPr="00576398">
        <w:rPr>
          <w:i/>
        </w:rPr>
        <w:t>na</w:t>
      </w:r>
      <w:r w:rsidR="00656606">
        <w:rPr>
          <w:i/>
        </w:rPr>
        <w:t xml:space="preserve"> </w:t>
      </w:r>
      <w:r w:rsidR="00113E17" w:rsidRPr="00576398">
        <w:rPr>
          <w:i/>
        </w:rPr>
        <w:t>środowisko).</w:t>
      </w:r>
      <w:r w:rsidR="00656606">
        <w:rPr>
          <w:i/>
        </w:rPr>
        <w:t xml:space="preserve"> </w:t>
      </w:r>
    </w:p>
    <w:p w14:paraId="41E885F0" w14:textId="77777777" w:rsidR="0096366D" w:rsidRPr="00EB7EAA" w:rsidRDefault="005F12CF" w:rsidP="00265A33">
      <w:pPr>
        <w:pStyle w:val="Akapitzlist"/>
        <w:numPr>
          <w:ilvl w:val="0"/>
          <w:numId w:val="19"/>
        </w:numPr>
      </w:pPr>
      <w:r w:rsidRPr="00EB7EAA">
        <w:t>Dla</w:t>
      </w:r>
      <w:r w:rsidR="00656606">
        <w:t xml:space="preserve"> </w:t>
      </w:r>
      <w:r w:rsidRPr="00EB7EAA">
        <w:t>projektów,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których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wymagane</w:t>
      </w:r>
      <w:r w:rsidR="00656606">
        <w:t xml:space="preserve"> </w:t>
      </w:r>
      <w:r w:rsidR="006335E2" w:rsidRPr="00EB7EAA">
        <w:t>przeprowadzenie</w:t>
      </w:r>
      <w:r w:rsidR="00656606">
        <w:t xml:space="preserve"> </w:t>
      </w:r>
      <w:r w:rsidRPr="00EB7EAA">
        <w:t>oceny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="00113E17" w:rsidRPr="00EB7EAA">
        <w:t>przedstawić</w:t>
      </w:r>
      <w:r w:rsidR="00656606">
        <w:t xml:space="preserve"> </w:t>
      </w:r>
      <w:r w:rsidR="00113E17" w:rsidRPr="00EB7EAA">
        <w:t>krótkie</w:t>
      </w:r>
      <w:r w:rsidR="00656606">
        <w:t xml:space="preserve"> </w:t>
      </w:r>
      <w:r w:rsidR="00113E17" w:rsidRPr="00EB7EAA">
        <w:t>uzasadnienie</w:t>
      </w:r>
      <w:r w:rsidR="00656606">
        <w:t xml:space="preserve"> </w:t>
      </w:r>
      <w:r w:rsidR="00113E17" w:rsidRPr="00EB7EAA">
        <w:t>oraz</w:t>
      </w:r>
      <w:r w:rsidR="00656606">
        <w:t xml:space="preserve"> </w:t>
      </w:r>
      <w:r w:rsidRPr="00EB7EAA">
        <w:t>sporządzić</w:t>
      </w:r>
      <w:r w:rsidR="00656606">
        <w:t xml:space="preserve"> </w:t>
      </w:r>
      <w:r w:rsidRPr="00EB7EAA">
        <w:t>krótką</w:t>
      </w:r>
      <w:r w:rsidR="00656606">
        <w:t xml:space="preserve"> </w:t>
      </w:r>
      <w:r w:rsidRPr="00EB7EAA">
        <w:t>analizę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aspekcie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="00113E17" w:rsidRPr="00EB7EAA">
        <w:t>środowisko</w:t>
      </w:r>
      <w:r w:rsidR="00656606">
        <w:t xml:space="preserve"> </w:t>
      </w:r>
      <w:r w:rsidR="00113E17" w:rsidRPr="00EB7EAA">
        <w:t>naturalne</w:t>
      </w:r>
      <w:r w:rsidRPr="00EB7EAA">
        <w:t>.</w:t>
      </w:r>
      <w:r w:rsidR="00656606">
        <w:t xml:space="preserve"> </w:t>
      </w:r>
    </w:p>
    <w:p w14:paraId="10672EEB" w14:textId="77777777" w:rsidR="006A54DE" w:rsidRPr="00EB7EAA" w:rsidRDefault="000F6A3D" w:rsidP="00265A33">
      <w:pPr>
        <w:pStyle w:val="Nagwek2"/>
        <w:numPr>
          <w:ilvl w:val="1"/>
          <w:numId w:val="17"/>
        </w:numPr>
        <w:spacing w:before="240" w:beforeAutospacing="0" w:after="60"/>
        <w:ind w:left="426"/>
        <w:jc w:val="both"/>
        <w:rPr>
          <w:i/>
        </w:rPr>
      </w:pPr>
      <w:bookmarkStart w:id="40" w:name="_Toc21079607"/>
      <w:bookmarkStart w:id="41" w:name="_Toc175029710"/>
      <w:bookmarkStart w:id="42" w:name="_Toc183823837"/>
      <w:bookmarkStart w:id="43" w:name="_Toc193878576"/>
      <w:r w:rsidRPr="00EB7EAA">
        <w:lastRenderedPageBreak/>
        <w:t>Wpływ</w:t>
      </w:r>
      <w:r w:rsidR="00656606">
        <w:t xml:space="preserve"> </w:t>
      </w:r>
      <w:r w:rsidRPr="00EB7EAA">
        <w:t>na</w:t>
      </w:r>
      <w:r w:rsidR="00656606">
        <w:t xml:space="preserve"> </w:t>
      </w:r>
      <w:r w:rsidR="00554A9B" w:rsidRPr="00EB7EAA">
        <w:t>obszary</w:t>
      </w:r>
      <w:r w:rsidR="00656606">
        <w:t xml:space="preserve"> </w:t>
      </w:r>
      <w:r w:rsidRPr="00EB7EAA">
        <w:t>Natura</w:t>
      </w:r>
      <w:r w:rsidR="00656606">
        <w:t xml:space="preserve"> </w:t>
      </w:r>
      <w:r w:rsidRPr="00EB7EAA">
        <w:t>2000</w:t>
      </w:r>
      <w:bookmarkEnd w:id="40"/>
      <w:r w:rsidR="00656606">
        <w:t xml:space="preserve"> </w:t>
      </w:r>
    </w:p>
    <w:p w14:paraId="617FA1F8" w14:textId="77777777" w:rsidR="005520AB" w:rsidRPr="00EB7EAA" w:rsidRDefault="000F6A3D" w:rsidP="00EB7EAA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33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ochronie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przyrody</w:t>
      </w:r>
      <w:r w:rsidR="00656606">
        <w:rPr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„</w:t>
      </w:r>
      <w:r w:rsidR="005520AB" w:rsidRPr="00EB7EAA">
        <w:rPr>
          <w:i/>
          <w:sz w:val="24"/>
          <w:szCs w:val="24"/>
        </w:rPr>
        <w:t>z</w:t>
      </w:r>
      <w:r w:rsidRPr="00EB7EAA">
        <w:rPr>
          <w:i/>
          <w:sz w:val="24"/>
          <w:szCs w:val="24"/>
        </w:rPr>
        <w:t>abrania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się,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zastrzeżeniem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art.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34,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podejmowania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działań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mogących,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osobno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połączeniu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innymi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działaniami,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znacząco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negatywnie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oddziaływać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cele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</w:t>
      </w:r>
      <w:r w:rsidR="002E5F6D">
        <w:rPr>
          <w:i/>
          <w:sz w:val="24"/>
          <w:szCs w:val="24"/>
        </w:rPr>
        <w:t>ny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obszaru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2000,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tym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w</w:t>
      </w:r>
      <w:r w:rsidR="00681F7F">
        <w:rPr>
          <w:i/>
          <w:sz w:val="24"/>
          <w:szCs w:val="24"/>
        </w:rPr>
        <w:t> </w:t>
      </w:r>
      <w:r w:rsidRPr="00EB7EAA">
        <w:rPr>
          <w:i/>
          <w:sz w:val="24"/>
          <w:szCs w:val="24"/>
        </w:rPr>
        <w:t>szczególności:</w:t>
      </w:r>
      <w:r w:rsidR="00656606">
        <w:rPr>
          <w:i/>
          <w:sz w:val="24"/>
          <w:szCs w:val="24"/>
        </w:rPr>
        <w:t xml:space="preserve"> </w:t>
      </w:r>
    </w:p>
    <w:p w14:paraId="78759490" w14:textId="77777777" w:rsidR="005520AB" w:rsidRPr="00EB7EAA" w:rsidRDefault="000F6A3D" w:rsidP="00265A33">
      <w:pPr>
        <w:pStyle w:val="Bezodstpw"/>
        <w:numPr>
          <w:ilvl w:val="2"/>
          <w:numId w:val="17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pogorszyć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stan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siedlisk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przyrodniczych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siedlisk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gatunków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roślin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zwierząt,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dla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których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wyznaczono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</w:p>
    <w:p w14:paraId="51D1409D" w14:textId="77777777" w:rsidR="006335E2" w:rsidRPr="00EB7EAA" w:rsidRDefault="000F6A3D" w:rsidP="00265A33">
      <w:pPr>
        <w:pStyle w:val="Bezodstpw"/>
        <w:numPr>
          <w:ilvl w:val="2"/>
          <w:numId w:val="17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wpłynąć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negatywnie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gatunki,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dla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których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został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wyznaczony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</w:p>
    <w:p w14:paraId="63A89AE1" w14:textId="77777777" w:rsidR="005520AB" w:rsidRPr="00EB7EAA" w:rsidRDefault="000F6A3D" w:rsidP="00265A33">
      <w:pPr>
        <w:pStyle w:val="Bezodstpw"/>
        <w:numPr>
          <w:ilvl w:val="2"/>
          <w:numId w:val="17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pogorszyć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integralność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obszaru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jego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powiązania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innymi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obszarami”.</w:t>
      </w:r>
      <w:r w:rsidR="00656606">
        <w:rPr>
          <w:i/>
          <w:sz w:val="24"/>
          <w:szCs w:val="24"/>
        </w:rPr>
        <w:t xml:space="preserve"> </w:t>
      </w:r>
    </w:p>
    <w:p w14:paraId="564A8D64" w14:textId="77777777" w:rsidR="000F6A3D" w:rsidRPr="00EB7EAA" w:rsidRDefault="005520AB" w:rsidP="00EB7EAA">
      <w:pPr>
        <w:jc w:val="both"/>
        <w:rPr>
          <w:szCs w:val="24"/>
        </w:rPr>
      </w:pP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podrozdziale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0F6A3D" w:rsidRPr="00EB7EAA">
        <w:rPr>
          <w:szCs w:val="24"/>
        </w:rPr>
        <w:t>ależy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przedstawić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informację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(lub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element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rzeczowego)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realizowany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terenie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objętym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ochroną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utworzonego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projektowanego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utworzenia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obszaru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Natura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2000.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</w:t>
      </w:r>
      <w:r w:rsidR="0038225A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proszę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podać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nazwę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obszaru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obecnej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chwili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określić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stan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środowiska,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szczególności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gatunki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ochroną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myśl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dyrektywy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Rady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21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maja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1992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r.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92/43/EWG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sprawie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naturalnych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siedlisk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dzikich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zwierząt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rośl</w:t>
      </w:r>
      <w:r w:rsidR="002E5F6D">
        <w:rPr>
          <w:szCs w:val="24"/>
        </w:rPr>
        <w:t>in</w:t>
      </w:r>
      <w:r w:rsidR="00656606">
        <w:rPr>
          <w:szCs w:val="24"/>
        </w:rPr>
        <w:t xml:space="preserve"> </w:t>
      </w:r>
      <w:r w:rsidR="002E5F6D">
        <w:rPr>
          <w:szCs w:val="24"/>
        </w:rPr>
        <w:t>oraz</w:t>
      </w:r>
      <w:r w:rsidR="00656606">
        <w:rPr>
          <w:szCs w:val="24"/>
        </w:rPr>
        <w:t xml:space="preserve"> </w:t>
      </w:r>
      <w:r w:rsidR="002E5F6D">
        <w:rPr>
          <w:szCs w:val="24"/>
        </w:rPr>
        <w:t>dyrektywy</w:t>
      </w:r>
      <w:r w:rsidR="00656606">
        <w:rPr>
          <w:szCs w:val="24"/>
        </w:rPr>
        <w:t xml:space="preserve"> </w:t>
      </w:r>
      <w:r w:rsidR="002E5F6D">
        <w:rPr>
          <w:szCs w:val="24"/>
        </w:rPr>
        <w:t>Rady</w:t>
      </w:r>
      <w:r w:rsidR="00656606">
        <w:rPr>
          <w:szCs w:val="24"/>
        </w:rPr>
        <w:t xml:space="preserve"> </w:t>
      </w:r>
      <w:r w:rsidR="002E5F6D">
        <w:rPr>
          <w:szCs w:val="24"/>
        </w:rPr>
        <w:t>z</w:t>
      </w:r>
      <w:r w:rsidR="00656606">
        <w:rPr>
          <w:szCs w:val="24"/>
        </w:rPr>
        <w:t xml:space="preserve"> </w:t>
      </w:r>
      <w:r w:rsidR="002E5F6D">
        <w:rPr>
          <w:szCs w:val="24"/>
        </w:rPr>
        <w:t>dnia</w:t>
      </w:r>
      <w:r w:rsidR="00656606">
        <w:rPr>
          <w:szCs w:val="24"/>
        </w:rPr>
        <w:t xml:space="preserve"> </w:t>
      </w:r>
      <w:r w:rsidR="002E5F6D">
        <w:rPr>
          <w:szCs w:val="24"/>
        </w:rPr>
        <w:t>2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kwietnia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1979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r.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79/409/EWG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sprawie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dzikich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ptaków.</w:t>
      </w:r>
    </w:p>
    <w:p w14:paraId="051F2580" w14:textId="77777777" w:rsidR="006A54DE" w:rsidRPr="00EB7EAA" w:rsidRDefault="00656606" w:rsidP="00265A33">
      <w:pPr>
        <w:pStyle w:val="Nagwek2"/>
        <w:numPr>
          <w:ilvl w:val="1"/>
          <w:numId w:val="17"/>
        </w:numPr>
        <w:spacing w:before="240" w:beforeAutospacing="0" w:after="60"/>
        <w:ind w:left="426"/>
        <w:jc w:val="both"/>
        <w:rPr>
          <w:i/>
        </w:rPr>
      </w:pPr>
      <w:r>
        <w:t xml:space="preserve"> </w:t>
      </w:r>
      <w:bookmarkStart w:id="44" w:name="_Toc21079608"/>
      <w:r w:rsidR="00AB2127" w:rsidRPr="00EB7EAA">
        <w:t>Przystosowanie</w:t>
      </w:r>
      <w:r>
        <w:t xml:space="preserve"> </w:t>
      </w:r>
      <w:r w:rsidR="00AB2127" w:rsidRPr="00EB7EAA">
        <w:t>do</w:t>
      </w:r>
      <w:r>
        <w:t xml:space="preserve"> </w:t>
      </w:r>
      <w:r w:rsidR="00AB2127" w:rsidRPr="00EB7EAA">
        <w:t>zmiany</w:t>
      </w:r>
      <w:r>
        <w:t xml:space="preserve"> </w:t>
      </w:r>
      <w:r w:rsidR="00AB2127" w:rsidRPr="00EB7EAA">
        <w:t>klimatu,</w:t>
      </w:r>
      <w:r>
        <w:t xml:space="preserve"> </w:t>
      </w:r>
      <w:r w:rsidR="00AB2127" w:rsidRPr="00EB7EAA">
        <w:t>łagodzenie</w:t>
      </w:r>
      <w:r>
        <w:t xml:space="preserve"> </w:t>
      </w:r>
      <w:r w:rsidR="00AB2127" w:rsidRPr="00EB7EAA">
        <w:t>zmiany</w:t>
      </w:r>
      <w:r>
        <w:t xml:space="preserve"> </w:t>
      </w:r>
      <w:r w:rsidR="00AB2127" w:rsidRPr="00EB7EAA">
        <w:t>klimatu</w:t>
      </w:r>
      <w:r>
        <w:t xml:space="preserve"> </w:t>
      </w:r>
      <w:r w:rsidR="00AB2127" w:rsidRPr="00EB7EAA">
        <w:t>oraz</w:t>
      </w:r>
      <w:r>
        <w:t xml:space="preserve"> </w:t>
      </w:r>
      <w:r w:rsidR="00554A9B" w:rsidRPr="00EB7EAA">
        <w:t>odporność</w:t>
      </w:r>
      <w:r>
        <w:t xml:space="preserve"> </w:t>
      </w:r>
      <w:r w:rsidR="00554A9B" w:rsidRPr="00EB7EAA">
        <w:t>na</w:t>
      </w:r>
      <w:r>
        <w:t xml:space="preserve"> </w:t>
      </w:r>
      <w:r w:rsidR="00554A9B" w:rsidRPr="00EB7EAA">
        <w:t>klęski</w:t>
      </w:r>
      <w:r>
        <w:t xml:space="preserve"> </w:t>
      </w:r>
      <w:r w:rsidR="00554A9B" w:rsidRPr="00EB7EAA">
        <w:t>żywiołowe</w:t>
      </w:r>
      <w:bookmarkEnd w:id="44"/>
    </w:p>
    <w:p w14:paraId="16EE4FC2" w14:textId="77777777" w:rsidR="00473F9E" w:rsidRPr="00EB7EAA" w:rsidRDefault="00AB2127" w:rsidP="00681F7F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663666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663666" w:rsidRPr="00EB7EAA">
        <w:rPr>
          <w:sz w:val="24"/>
          <w:szCs w:val="24"/>
        </w:rPr>
        <w:t>wyjaśnić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przyczynia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klimatu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strategią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„Europa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2020”,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zawiera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temat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klimatu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wykonawczego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(UE)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</w:t>
      </w:r>
      <w:r w:rsidR="00663666" w:rsidRPr="00EB7EAA">
        <w:rPr>
          <w:sz w:val="24"/>
          <w:szCs w:val="24"/>
        </w:rPr>
        <w:t>15/2014.</w:t>
      </w:r>
      <w:r w:rsidR="00656606">
        <w:rPr>
          <w:sz w:val="24"/>
          <w:szCs w:val="24"/>
        </w:rPr>
        <w:t xml:space="preserve"> </w:t>
      </w:r>
    </w:p>
    <w:p w14:paraId="4F76780D" w14:textId="77777777" w:rsidR="00435F43" w:rsidRPr="00EB7EAA" w:rsidRDefault="00435F43" w:rsidP="00681F7F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rFonts w:eastAsia="Times New Roman" w:cs="Arial"/>
          <w:sz w:val="24"/>
          <w:szCs w:val="24"/>
          <w:lang w:eastAsia="pl-PL"/>
        </w:rPr>
        <w:t>P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roszę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przedstawić,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jaki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sposób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uwzględniono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zagrożenia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związane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zmianami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klimatu,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kwestie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dotyczące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przystosowania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zmian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łagodzenia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oraz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odporność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klęski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żywiołowe.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EE87BDE" w14:textId="77777777" w:rsidR="00435F43" w:rsidRPr="00EB7EAA" w:rsidRDefault="00663666" w:rsidP="00681F7F">
      <w:pPr>
        <w:pStyle w:val="Bezodstpw"/>
        <w:spacing w:before="100" w:beforeAutospacing="1" w:after="100" w:afterAutospacing="1" w:line="276" w:lineRule="auto"/>
        <w:jc w:val="both"/>
        <w:rPr>
          <w:rFonts w:cs="Calibri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Wymaganym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przedstawienie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przyjętych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celu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zapewnienia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odporności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bieżącą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zmienność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przyszłe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ramach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szczególności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udzielić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odpowiedzi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następujące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pytania: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sposób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uwzględniono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podczas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opracowywania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części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składowych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odniesieniu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sił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zewnętrznych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(m.in.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obciążenie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wiatrem,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obciążenie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śniegiem,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lastRenderedPageBreak/>
        <w:t>różnice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temperatury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)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i</w:t>
      </w:r>
      <w:r w:rsidR="00681F7F">
        <w:rPr>
          <w:rFonts w:eastAsia="Times New Roman" w:cs="Arial"/>
          <w:sz w:val="24"/>
          <w:szCs w:val="24"/>
          <w:lang w:eastAsia="pl-PL"/>
        </w:rPr>
        <w:t> 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oddziaływań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(</w:t>
      </w:r>
      <w:r w:rsidR="00C07010" w:rsidRPr="00EB7EAA">
        <w:rPr>
          <w:rFonts w:eastAsia="Times New Roman" w:cs="Arial"/>
          <w:sz w:val="24"/>
          <w:szCs w:val="24"/>
          <w:lang w:eastAsia="pl-PL"/>
        </w:rPr>
        <w:t>m.in.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fale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upałów,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drenaż</w:t>
      </w:r>
      <w:r w:rsidR="004A3AD6" w:rsidRPr="00EB7EAA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42"/>
      </w:r>
      <w:r w:rsidRPr="00EB7EAA">
        <w:rPr>
          <w:rFonts w:eastAsia="Times New Roman" w:cs="Arial"/>
          <w:sz w:val="24"/>
          <w:szCs w:val="24"/>
          <w:lang w:eastAsia="pl-PL"/>
        </w:rPr>
        <w:t>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zagrożenie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powodziowe,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również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przedłużające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okresy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suszy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wpływające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właściwości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gleby)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</w:p>
    <w:p w14:paraId="07E4B1C5" w14:textId="77777777" w:rsidR="00435F43" w:rsidRPr="00EB7EAA" w:rsidRDefault="00435F43" w:rsidP="00681F7F">
      <w:pPr>
        <w:pStyle w:val="Bezodstpw"/>
        <w:spacing w:before="100" w:beforeAutospacing="1" w:after="100" w:afterAutospacing="1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przeanalizować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ryzyko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zalania,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podtopienia,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osuwiska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niekorzystnego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zdarzenia,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skutkującego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uszkodzeniem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zniszczeniem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wytworzonej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81F7F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wyniku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realizacji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81F7F" w:rsidRPr="00EB7EAA">
        <w:rPr>
          <w:rFonts w:eastAsia="Times New Roman" w:cs="Arial"/>
          <w:sz w:val="24"/>
          <w:szCs w:val="24"/>
          <w:lang w:eastAsia="pl-PL"/>
        </w:rPr>
        <w:t>Tam,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gdzie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ma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uzasadnienie,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zastosować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zwiększające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odporność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przypadku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nasilonej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częstotliwości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występowania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ekstremalnych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zjawisk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pogodowych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ograniczające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ryzyko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wpływu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zjawisk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zachowanie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stabilności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trwałości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powinny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dotyczyć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zarówno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realizacji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przedsięwzięcia,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dalszego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utrzymania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wybudowanej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6B8475EE" w14:textId="77777777" w:rsidR="0096366D" w:rsidRPr="00EB7EAA" w:rsidRDefault="00435F43" w:rsidP="00EB7EAA">
      <w:pPr>
        <w:spacing w:after="0"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t>Koni</w:t>
      </w:r>
      <w:r w:rsidR="00BF7D81" w:rsidRPr="00EB7EAA">
        <w:rPr>
          <w:rFonts w:eastAsia="Times New Roman" w:cs="Arial"/>
          <w:b/>
          <w:szCs w:val="24"/>
          <w:lang w:eastAsia="pl-PL"/>
        </w:rPr>
        <w:t>ecznym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jest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udzielenie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odpowiedzi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na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pytanie,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czy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wszelkie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elementy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infrastruktury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zlokalizowane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na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obszarach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zagrożonych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powodzią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(oceniane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zgodnie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dyrektywą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2007/60/WE),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zaprojektowane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sposób,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który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uwzględnia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to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ryzyko</w:t>
      </w:r>
      <w:r w:rsidR="003146D8" w:rsidRPr="00EB7EAA">
        <w:rPr>
          <w:rFonts w:eastAsia="Times New Roman" w:cs="Arial"/>
          <w:b/>
          <w:szCs w:val="24"/>
          <w:lang w:eastAsia="pl-PL"/>
        </w:rPr>
        <w:t>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1A6862" w:rsidRPr="00EB7EAA">
        <w:rPr>
          <w:rFonts w:eastAsia="Times New Roman" w:cs="Arial"/>
          <w:szCs w:val="24"/>
          <w:lang w:eastAsia="pl-PL"/>
        </w:rPr>
        <w:t>N</w:t>
      </w:r>
      <w:r w:rsidR="003146D8" w:rsidRPr="00EB7EAA">
        <w:rPr>
          <w:rFonts w:eastAsia="Times New Roman" w:cs="Arial"/>
          <w:szCs w:val="24"/>
          <w:lang w:eastAsia="pl-PL"/>
        </w:rPr>
        <w:t>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="003146D8" w:rsidRPr="00EB7EAA">
        <w:rPr>
          <w:rFonts w:eastAsia="Times New Roman" w:cs="Arial"/>
          <w:szCs w:val="24"/>
          <w:lang w:eastAsia="pl-PL"/>
        </w:rPr>
        <w:t>Hydroportalu</w:t>
      </w:r>
      <w:proofErr w:type="spellEnd"/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(</w:t>
      </w:r>
      <w:hyperlink r:id="rId19" w:history="1">
        <w:r w:rsidR="001B445B" w:rsidRPr="001D265B">
          <w:rPr>
            <w:rStyle w:val="Hipercze"/>
            <w:rFonts w:eastAsia="Times New Roman" w:cs="Arial"/>
            <w:szCs w:val="24"/>
            <w:lang w:eastAsia="pl-PL"/>
          </w:rPr>
          <w:t>http://mapy.isok.gov.pl/imap/</w:t>
        </w:r>
      </w:hyperlink>
      <w:r w:rsidR="003146D8" w:rsidRPr="00EB7EAA">
        <w:rPr>
          <w:rFonts w:eastAsia="Times New Roman" w:cs="Arial"/>
          <w:szCs w:val="24"/>
          <w:lang w:eastAsia="pl-PL"/>
        </w:rPr>
        <w:t>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opublikowane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ostateczne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wersje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zagrożenia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powodziowego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ryzyka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powodziowego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formacie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pdf.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przekazane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Prezesa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Krajowego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Zarządu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Gospodarki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Wodnej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organom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administracji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wskazanym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ustawie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Prawo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wodne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(art.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88f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3)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jako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oficjalne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dokumenty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planistyczne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stanowią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podstawę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podejmowania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działań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związanych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planowaniem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przestrzennym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zarządzaniem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kryzysowym.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Jeżeli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inwestycja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infrastrukturalna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jest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zlokalizowana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obszarach,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których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mowa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powyżej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należy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opisać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jakie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rozwiązania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lub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zostaną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zastosowane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uwzględniające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zagrożenie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lub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ryzyko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powodziowe.</w:t>
      </w:r>
      <w:bookmarkEnd w:id="41"/>
      <w:bookmarkEnd w:id="42"/>
      <w:bookmarkEnd w:id="43"/>
    </w:p>
    <w:p w14:paraId="53AD2179" w14:textId="77777777" w:rsidR="006A54DE" w:rsidRPr="00EB7EAA" w:rsidRDefault="000F6A3D" w:rsidP="00265A33">
      <w:pPr>
        <w:pStyle w:val="Nagwek2"/>
        <w:numPr>
          <w:ilvl w:val="1"/>
          <w:numId w:val="17"/>
        </w:numPr>
        <w:spacing w:before="240" w:beforeAutospacing="0" w:after="60"/>
        <w:ind w:left="426"/>
        <w:jc w:val="both"/>
        <w:rPr>
          <w:i/>
        </w:rPr>
      </w:pPr>
      <w:bookmarkStart w:id="45" w:name="_Toc21079609"/>
      <w:r w:rsidRPr="00EB7EAA">
        <w:t>Wpływ</w:t>
      </w:r>
      <w:r w:rsidR="00656606">
        <w:t xml:space="preserve"> </w:t>
      </w:r>
      <w:r w:rsidR="0096366D" w:rsidRPr="00EB7EAA">
        <w:t>na</w:t>
      </w:r>
      <w:r w:rsidR="00656606">
        <w:t xml:space="preserve"> </w:t>
      </w:r>
      <w:r w:rsidR="0096366D" w:rsidRPr="00EB7EAA">
        <w:t>efektywne</w:t>
      </w:r>
      <w:r w:rsidR="00656606">
        <w:t xml:space="preserve"> </w:t>
      </w:r>
      <w:r w:rsidR="0096366D" w:rsidRPr="00EB7EAA">
        <w:t>i</w:t>
      </w:r>
      <w:r w:rsidR="00656606">
        <w:t xml:space="preserve"> </w:t>
      </w:r>
      <w:r w:rsidR="0096366D" w:rsidRPr="00EB7EAA">
        <w:t>racjonalne</w:t>
      </w:r>
      <w:r w:rsidR="00656606">
        <w:t xml:space="preserve"> </w:t>
      </w:r>
      <w:r w:rsidR="0096366D" w:rsidRPr="00EB7EAA">
        <w:t>wykorzystywanie</w:t>
      </w:r>
      <w:r w:rsidR="00656606">
        <w:t xml:space="preserve"> </w:t>
      </w:r>
      <w:r w:rsidR="0096366D" w:rsidRPr="00EB7EAA">
        <w:t>zasobów</w:t>
      </w:r>
      <w:r w:rsidR="00656606">
        <w:t xml:space="preserve"> </w:t>
      </w:r>
      <w:r w:rsidR="0096366D" w:rsidRPr="00EB7EAA">
        <w:t>natur</w:t>
      </w:r>
      <w:r w:rsidR="008A741A">
        <w:t>y</w:t>
      </w:r>
      <w:r w:rsidR="00681F7F">
        <w:t> </w:t>
      </w:r>
      <w:r w:rsidR="0096366D" w:rsidRPr="00EB7EAA">
        <w:t>oraz</w:t>
      </w:r>
      <w:r w:rsidR="00681F7F">
        <w:t> </w:t>
      </w:r>
      <w:r w:rsidR="0096366D" w:rsidRPr="00EB7EAA">
        <w:t>stosowanie</w:t>
      </w:r>
      <w:r w:rsidR="00656606">
        <w:t xml:space="preserve"> </w:t>
      </w:r>
      <w:r w:rsidR="0096366D" w:rsidRPr="00EB7EAA">
        <w:t>rozwiązań</w:t>
      </w:r>
      <w:r w:rsidR="00656606">
        <w:t xml:space="preserve"> </w:t>
      </w:r>
      <w:r w:rsidR="0096366D" w:rsidRPr="00EB7EAA">
        <w:t>przyjaznych</w:t>
      </w:r>
      <w:r w:rsidR="00656606">
        <w:t xml:space="preserve"> </w:t>
      </w:r>
      <w:r w:rsidR="0096366D" w:rsidRPr="00EB7EAA">
        <w:t>środowisku</w:t>
      </w:r>
      <w:bookmarkEnd w:id="45"/>
    </w:p>
    <w:p w14:paraId="33E9FC18" w14:textId="77777777" w:rsidR="00F35422" w:rsidRPr="00EB7EAA" w:rsidRDefault="007F7064" w:rsidP="00EB7EAA">
      <w:pPr>
        <w:jc w:val="both"/>
        <w:rPr>
          <w:szCs w:val="24"/>
        </w:rPr>
      </w:pPr>
      <w:r w:rsidRPr="00EB7EAA">
        <w:rPr>
          <w:szCs w:val="24"/>
        </w:rPr>
        <w:t>Proszę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opisać,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sposób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wykorzystywane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zasoby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podczas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81F7F">
        <w:rPr>
          <w:szCs w:val="24"/>
        </w:rPr>
        <w:t> </w:t>
      </w:r>
      <w:r w:rsidR="0096366D" w:rsidRPr="00EB7EAA">
        <w:rPr>
          <w:szCs w:val="24"/>
        </w:rPr>
        <w:t>eksploatacji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4D7DC3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stosowane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przyjazne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środowisku.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przyjazne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rozumieć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mające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wprowadzenie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wykorzystanie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odnawialnych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źródeł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energii;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nowoczesne,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energooszczędne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techniczne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technologiczne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zmniejszające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wpływ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środowisko;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wykorzystujące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surowce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podlegające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rozkładowi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naturalnemu;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promujące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odpowiedzialne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zachowania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wobec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zachowania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obliczu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klęsk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zagrożeń</w:t>
      </w:r>
      <w:r w:rsidR="006E4C4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itp.</w:t>
      </w:r>
    </w:p>
    <w:p w14:paraId="3278F618" w14:textId="77777777" w:rsidR="006A54DE" w:rsidRPr="00EB7EAA" w:rsidRDefault="00F35422" w:rsidP="00265A33">
      <w:pPr>
        <w:pStyle w:val="Nagwek1"/>
        <w:numPr>
          <w:ilvl w:val="0"/>
          <w:numId w:val="17"/>
        </w:numPr>
        <w:jc w:val="both"/>
      </w:pPr>
      <w:bookmarkStart w:id="46" w:name="_Toc21079610"/>
      <w:r w:rsidRPr="00EB7EAA">
        <w:lastRenderedPageBreak/>
        <w:t>Promocja</w:t>
      </w:r>
      <w:r w:rsidR="00656606">
        <w:t xml:space="preserve"> </w:t>
      </w:r>
      <w:r w:rsidRPr="00EB7EAA">
        <w:t>projektu</w:t>
      </w:r>
      <w:bookmarkEnd w:id="46"/>
    </w:p>
    <w:p w14:paraId="6585B43C" w14:textId="77777777" w:rsidR="00EB2A9C" w:rsidRDefault="00F35422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opisać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promocję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</w:t>
      </w:r>
      <w:r w:rsidR="00C441B9" w:rsidRPr="00EB7EAA">
        <w:rPr>
          <w:szCs w:val="24"/>
        </w:rPr>
        <w:t>ić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formę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działań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promocyjnych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="000B1483" w:rsidRPr="00EB7EAA">
        <w:rPr>
          <w:szCs w:val="24"/>
        </w:rPr>
        <w:t>z</w:t>
      </w:r>
      <w:r w:rsidR="00CD337C">
        <w:rPr>
          <w:szCs w:val="24"/>
        </w:rPr>
        <w:t> </w:t>
      </w:r>
      <w:r w:rsidR="000B1483" w:rsidRPr="00EB7EAA">
        <w:rPr>
          <w:i/>
          <w:szCs w:val="24"/>
        </w:rPr>
        <w:t>W</w:t>
      </w:r>
      <w:r w:rsidRPr="00EB7EAA">
        <w:rPr>
          <w:i/>
          <w:szCs w:val="24"/>
        </w:rPr>
        <w:t>ytycznymi</w:t>
      </w:r>
      <w:r w:rsidR="00656606">
        <w:rPr>
          <w:i/>
          <w:szCs w:val="24"/>
        </w:rPr>
        <w:t xml:space="preserve"> </w:t>
      </w:r>
      <w:proofErr w:type="spellStart"/>
      <w:r w:rsidRPr="00EB7EAA">
        <w:rPr>
          <w:i/>
          <w:szCs w:val="24"/>
        </w:rPr>
        <w:t>MIiR</w:t>
      </w:r>
      <w:proofErr w:type="spellEnd"/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w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zakresie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infor</w:t>
      </w:r>
      <w:r w:rsidR="000B1483" w:rsidRPr="00EB7EAA">
        <w:rPr>
          <w:i/>
          <w:szCs w:val="24"/>
        </w:rPr>
        <w:t>macji</w:t>
      </w:r>
      <w:r w:rsidR="00656606">
        <w:rPr>
          <w:i/>
          <w:szCs w:val="24"/>
        </w:rPr>
        <w:t xml:space="preserve"> </w:t>
      </w:r>
      <w:r w:rsidR="000B1483" w:rsidRPr="00EB7EAA">
        <w:rPr>
          <w:i/>
          <w:szCs w:val="24"/>
        </w:rPr>
        <w:t>i</w:t>
      </w:r>
      <w:r w:rsidR="00656606">
        <w:rPr>
          <w:i/>
          <w:szCs w:val="24"/>
        </w:rPr>
        <w:t xml:space="preserve"> </w:t>
      </w:r>
      <w:r w:rsidR="000B1483" w:rsidRPr="00EB7EAA">
        <w:rPr>
          <w:i/>
          <w:szCs w:val="24"/>
        </w:rPr>
        <w:t>promocji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programów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operacyjnych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polityki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spójności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na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lata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2014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415E30">
        <w:rPr>
          <w:rFonts w:eastAsia="Times New Roman" w:cs="Arial"/>
          <w:i/>
          <w:szCs w:val="24"/>
          <w:lang w:eastAsia="pl-PL"/>
        </w:rPr>
        <w:t>–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2020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dostępnymi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stronie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internetowej: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14:paraId="55604081" w14:textId="77777777" w:rsidR="00EB2A9C" w:rsidRDefault="0019169C" w:rsidP="00EB7EAA">
      <w:pPr>
        <w:jc w:val="both"/>
      </w:pPr>
      <w:hyperlink r:id="rId20" w:history="1"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http://www.mir.gov.pl/strony/zadania/fundusze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europejskie/wytyczne/wytyczne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na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lata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2014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2020/#</w:t>
        </w:r>
      </w:hyperlink>
      <w:r w:rsidR="00656606">
        <w:t xml:space="preserve"> </w:t>
      </w:r>
    </w:p>
    <w:p w14:paraId="6897857A" w14:textId="77777777" w:rsidR="00EB2A9C" w:rsidRDefault="000B1483" w:rsidP="00EB7EAA">
      <w:pPr>
        <w:jc w:val="both"/>
        <w:rPr>
          <w:szCs w:val="24"/>
        </w:rPr>
      </w:pPr>
      <w:r w:rsidRPr="00EB7EAA">
        <w:rPr>
          <w:rFonts w:eastAsia="Times New Roman" w:cs="Arial"/>
          <w:szCs w:val="24"/>
          <w:lang w:eastAsia="pl-PL"/>
        </w:rPr>
        <w:t>oraz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Podręcznikiem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wnioskodawcy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beneficjenta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programów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polityki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spójności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2014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="00415E30">
        <w:rPr>
          <w:rFonts w:cs="Arial"/>
          <w:bCs/>
          <w:i/>
          <w:szCs w:val="24"/>
          <w:lang w:eastAsia="pl-PL"/>
        </w:rPr>
        <w:t>–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2020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w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zakresie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informacji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promocji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dostępnym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na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stronie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internetowej:</w:t>
      </w:r>
      <w:r w:rsidR="00656606">
        <w:rPr>
          <w:szCs w:val="24"/>
        </w:rPr>
        <w:t xml:space="preserve"> </w:t>
      </w:r>
    </w:p>
    <w:p w14:paraId="17E899C0" w14:textId="77777777" w:rsidR="00EB2A9C" w:rsidRDefault="0019169C" w:rsidP="00EB7EAA">
      <w:pPr>
        <w:jc w:val="both"/>
        <w:rPr>
          <w:szCs w:val="24"/>
        </w:rPr>
      </w:pPr>
      <w:hyperlink r:id="rId21" w:history="1">
        <w:r w:rsidR="00EB2A9C" w:rsidRPr="001D265B">
          <w:rPr>
            <w:rStyle w:val="Hipercze"/>
            <w:szCs w:val="24"/>
          </w:rPr>
          <w:t>http://www.2014</w:t>
        </w:r>
        <w:r w:rsidR="00656606">
          <w:rPr>
            <w:rStyle w:val="Hipercze"/>
            <w:szCs w:val="24"/>
          </w:rPr>
          <w:t xml:space="preserve"> </w:t>
        </w:r>
        <w:r w:rsidR="00415E30">
          <w:rPr>
            <w:rStyle w:val="Hipercze"/>
            <w:szCs w:val="24"/>
          </w:rPr>
          <w:t>–</w:t>
        </w:r>
        <w:r w:rsidR="00656606">
          <w:rPr>
            <w:rStyle w:val="Hipercze"/>
            <w:szCs w:val="24"/>
          </w:rPr>
          <w:t xml:space="preserve"> </w:t>
        </w:r>
        <w:r w:rsidR="00EB2A9C" w:rsidRPr="001D265B">
          <w:rPr>
            <w:rStyle w:val="Hipercze"/>
            <w:szCs w:val="24"/>
          </w:rPr>
          <w:t>2020.rpo</w:t>
        </w:r>
        <w:r w:rsidR="00656606">
          <w:rPr>
            <w:rStyle w:val="Hipercze"/>
            <w:szCs w:val="24"/>
          </w:rPr>
          <w:t xml:space="preserve"> </w:t>
        </w:r>
        <w:r w:rsidR="00415E30">
          <w:rPr>
            <w:rStyle w:val="Hipercze"/>
            <w:szCs w:val="24"/>
          </w:rPr>
          <w:t>–</w:t>
        </w:r>
        <w:r w:rsidR="00656606">
          <w:rPr>
            <w:rStyle w:val="Hipercze"/>
            <w:szCs w:val="24"/>
          </w:rPr>
          <w:t xml:space="preserve"> </w:t>
        </w:r>
        <w:r w:rsidR="00EB2A9C" w:rsidRPr="001D265B">
          <w:rPr>
            <w:rStyle w:val="Hipercze"/>
            <w:szCs w:val="24"/>
          </w:rPr>
          <w:t>swietokrzyskie.pl/</w:t>
        </w:r>
      </w:hyperlink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zakładce</w:t>
      </w:r>
      <w:r w:rsidR="00656606">
        <w:rPr>
          <w:szCs w:val="24"/>
        </w:rPr>
        <w:t xml:space="preserve"> </w:t>
      </w:r>
      <w:r w:rsidR="009125F9" w:rsidRPr="00EB7EAA">
        <w:rPr>
          <w:i/>
          <w:szCs w:val="24"/>
        </w:rPr>
        <w:t>„Poznaj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obowiązki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przy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realizacji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projektów”</w:t>
      </w:r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→</w:t>
      </w:r>
      <w:r w:rsidR="00656606">
        <w:rPr>
          <w:szCs w:val="24"/>
        </w:rPr>
        <w:t xml:space="preserve"> </w:t>
      </w:r>
      <w:r w:rsidR="009125F9" w:rsidRPr="00EB7EAA">
        <w:rPr>
          <w:i/>
          <w:szCs w:val="24"/>
        </w:rPr>
        <w:t>„Poznaj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zasady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promowania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projektów”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stronie:</w:t>
      </w:r>
      <w:r w:rsidR="00656606">
        <w:rPr>
          <w:szCs w:val="24"/>
        </w:rPr>
        <w:t xml:space="preserve"> </w:t>
      </w:r>
    </w:p>
    <w:p w14:paraId="515F1AF6" w14:textId="77777777" w:rsidR="00EB2A9C" w:rsidRDefault="0019169C" w:rsidP="00EB7EAA">
      <w:pPr>
        <w:jc w:val="both"/>
        <w:rPr>
          <w:rFonts w:cs="Arial"/>
          <w:bCs/>
          <w:szCs w:val="24"/>
          <w:lang w:eastAsia="pl-PL"/>
        </w:rPr>
      </w:pPr>
      <w:hyperlink r:id="rId22" w:history="1"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https://www.funduszeeuropejskie.gov.pl/strony/o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funduszach/dokumenty/</w:t>
        </w:r>
        <w:proofErr w:type="spellStart"/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podrecznik</w:t>
        </w:r>
        <w:proofErr w:type="spellEnd"/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wnioskodawcy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beneficjenta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proofErr w:type="spellStart"/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programow</w:t>
        </w:r>
        <w:proofErr w:type="spellEnd"/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polityki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proofErr w:type="spellStart"/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spojnosci</w:t>
        </w:r>
        <w:proofErr w:type="spellEnd"/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2014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2020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w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zakresie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informacji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promocji/</w:t>
        </w:r>
      </w:hyperlink>
      <w:r w:rsidR="003E4B13" w:rsidRPr="00EB7EAA">
        <w:rPr>
          <w:rFonts w:cs="Arial"/>
          <w:bCs/>
          <w:szCs w:val="24"/>
          <w:lang w:eastAsia="pl-PL"/>
        </w:rPr>
        <w:t>.</w:t>
      </w:r>
      <w:r w:rsidR="00656606">
        <w:rPr>
          <w:rFonts w:cs="Arial"/>
          <w:bCs/>
          <w:szCs w:val="24"/>
          <w:lang w:eastAsia="pl-PL"/>
        </w:rPr>
        <w:t xml:space="preserve"> </w:t>
      </w:r>
    </w:p>
    <w:p w14:paraId="489A42C2" w14:textId="77777777" w:rsidR="005B2F0A" w:rsidRPr="00EB7EAA" w:rsidRDefault="00C27F94" w:rsidP="00EB7EAA">
      <w:pPr>
        <w:jc w:val="both"/>
        <w:rPr>
          <w:rFonts w:cs="Arial"/>
          <w:b/>
          <w:bCs/>
          <w:szCs w:val="24"/>
          <w:lang w:eastAsia="pl-PL"/>
        </w:rPr>
      </w:pPr>
      <w:r w:rsidRPr="00EB7EAA">
        <w:rPr>
          <w:rFonts w:cs="Arial"/>
          <w:b/>
          <w:bCs/>
          <w:szCs w:val="24"/>
          <w:lang w:eastAsia="pl-PL"/>
        </w:rPr>
        <w:t>Należy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Pr="00EB7EAA">
        <w:rPr>
          <w:rFonts w:cs="Arial"/>
          <w:b/>
          <w:bCs/>
          <w:szCs w:val="24"/>
          <w:lang w:eastAsia="pl-PL"/>
        </w:rPr>
        <w:t>pamiętać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Pr="00EB7EAA">
        <w:rPr>
          <w:rFonts w:cs="Arial"/>
          <w:b/>
          <w:bCs/>
          <w:szCs w:val="24"/>
          <w:lang w:eastAsia="pl-PL"/>
        </w:rPr>
        <w:t>o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dopuszczalnych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limitach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wydatków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k</w:t>
      </w:r>
      <w:r w:rsidR="001B05B4" w:rsidRPr="00EB7EAA">
        <w:rPr>
          <w:rFonts w:cs="Arial"/>
          <w:b/>
          <w:bCs/>
          <w:szCs w:val="24"/>
          <w:lang w:eastAsia="pl-PL"/>
        </w:rPr>
        <w:t>w</w:t>
      </w:r>
      <w:r w:rsidR="00EB705B" w:rsidRPr="00EB7EAA">
        <w:rPr>
          <w:rFonts w:cs="Arial"/>
          <w:b/>
          <w:bCs/>
          <w:szCs w:val="24"/>
          <w:lang w:eastAsia="pl-PL"/>
        </w:rPr>
        <w:t>alifikowalnych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dot.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informacji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promocji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projektów</w:t>
      </w:r>
      <w:r w:rsidR="001B05B4" w:rsidRPr="00EB7EAA">
        <w:rPr>
          <w:rFonts w:cs="Arial"/>
          <w:b/>
          <w:bCs/>
          <w:szCs w:val="24"/>
          <w:lang w:eastAsia="pl-PL"/>
        </w:rPr>
        <w:t>,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określonych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w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regulaminach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poszczególnych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konkursów.</w:t>
      </w:r>
    </w:p>
    <w:p w14:paraId="60FFDBD3" w14:textId="77777777" w:rsidR="006A54DE" w:rsidRPr="00EB7EAA" w:rsidRDefault="005B2F0A" w:rsidP="00265A33">
      <w:pPr>
        <w:pStyle w:val="Nagwek1"/>
        <w:numPr>
          <w:ilvl w:val="0"/>
          <w:numId w:val="17"/>
        </w:numPr>
        <w:jc w:val="both"/>
      </w:pPr>
      <w:bookmarkStart w:id="47" w:name="_Toc21079611"/>
      <w:r w:rsidRPr="00EB7EAA">
        <w:t>Wnioski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podsumowanie</w:t>
      </w:r>
      <w:bookmarkEnd w:id="47"/>
    </w:p>
    <w:p w14:paraId="52A11534" w14:textId="77777777" w:rsidR="005B2F0A" w:rsidRPr="00EB7EAA" w:rsidRDefault="005B2F0A" w:rsidP="004D7DC3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proszę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skrótowy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przegląd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</w:t>
      </w:r>
      <w:r w:rsidR="00C27F94" w:rsidRPr="00EB7EAA">
        <w:rPr>
          <w:sz w:val="24"/>
          <w:szCs w:val="24"/>
        </w:rPr>
        <w:t>uczowych</w:t>
      </w:r>
      <w:r w:rsidR="00656606">
        <w:rPr>
          <w:sz w:val="24"/>
          <w:szCs w:val="24"/>
        </w:rPr>
        <w:t xml:space="preserve"> </w:t>
      </w:r>
      <w:r w:rsidR="00C27F94" w:rsidRPr="00EB7EAA">
        <w:rPr>
          <w:sz w:val="24"/>
          <w:szCs w:val="24"/>
        </w:rPr>
        <w:t>informacji</w:t>
      </w:r>
      <w:r w:rsidR="00656606">
        <w:rPr>
          <w:sz w:val="24"/>
          <w:szCs w:val="24"/>
        </w:rPr>
        <w:t xml:space="preserve"> </w:t>
      </w:r>
      <w:r w:rsidR="00C27F94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E930D1" w:rsidRPr="00EB7EAA">
        <w:rPr>
          <w:sz w:val="24"/>
          <w:szCs w:val="24"/>
        </w:rPr>
        <w:t>projekcie,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m.</w:t>
      </w:r>
      <w:r w:rsidR="00240A5F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in.</w:t>
      </w:r>
    </w:p>
    <w:p w14:paraId="08B746C8" w14:textId="77777777" w:rsidR="005B2F0A" w:rsidRPr="00EB7EAA" w:rsidRDefault="00CE4254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</w:p>
    <w:p w14:paraId="7A2326CB" w14:textId="77777777" w:rsidR="00CE4254" w:rsidRPr="00EB7EAA" w:rsidRDefault="00CE4254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projektu,</w:t>
      </w:r>
    </w:p>
    <w:p w14:paraId="3194262B" w14:textId="77777777" w:rsidR="00CE4254" w:rsidRPr="00EB7EAA" w:rsidRDefault="00CE4254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instytucjonalnej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wykonalności</w:t>
      </w:r>
      <w:r w:rsidR="003B0E8A" w:rsidRPr="00EB7EAA">
        <w:rPr>
          <w:sz w:val="24"/>
          <w:szCs w:val="24"/>
        </w:rPr>
        <w:t>,</w:t>
      </w:r>
    </w:p>
    <w:p w14:paraId="1B89132B" w14:textId="77777777" w:rsidR="003B0E8A" w:rsidRPr="00EB7EAA" w:rsidRDefault="003B0E8A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zastosowanego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rozwiązania/wariantu,</w:t>
      </w:r>
    </w:p>
    <w:p w14:paraId="74B12066" w14:textId="77777777" w:rsidR="003B0E8A" w:rsidRPr="00EB7EAA" w:rsidRDefault="003B0E8A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ekonomicznej,</w:t>
      </w:r>
    </w:p>
    <w:p w14:paraId="4A34E9B5" w14:textId="77777777" w:rsidR="003B0E8A" w:rsidRPr="00EB7EAA" w:rsidRDefault="003B0E8A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OOŚ,</w:t>
      </w:r>
    </w:p>
    <w:p w14:paraId="6AF699F2" w14:textId="77777777" w:rsidR="006A54DE" w:rsidRPr="00EB7EAA" w:rsidRDefault="003B0E8A" w:rsidP="00265A33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spełnienia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kryteriów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oceny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merytorycznej</w:t>
      </w:r>
      <w:r w:rsidRPr="00EB7EAA">
        <w:rPr>
          <w:sz w:val="24"/>
          <w:szCs w:val="24"/>
        </w:rPr>
        <w:t>.</w:t>
      </w:r>
    </w:p>
    <w:p w14:paraId="117CC6E9" w14:textId="77777777" w:rsidR="00673CAC" w:rsidRDefault="00673CAC">
      <w:pPr>
        <w:spacing w:before="0" w:beforeAutospacing="0" w:after="0" w:afterAutospacing="0" w:line="240" w:lineRule="auto"/>
        <w:rPr>
          <w:rFonts w:ascii="Cambria" w:eastAsia="Times New Roman" w:hAnsi="Cambria"/>
          <w:b/>
          <w:bCs/>
          <w:kern w:val="32"/>
          <w:sz w:val="32"/>
          <w:szCs w:val="32"/>
        </w:rPr>
      </w:pPr>
      <w:bookmarkStart w:id="48" w:name="_Toc433636337"/>
      <w:r>
        <w:br w:type="page"/>
      </w:r>
    </w:p>
    <w:p w14:paraId="7AE7A4FE" w14:textId="77777777" w:rsidR="00147C54" w:rsidRPr="00EB7EAA" w:rsidRDefault="00147C54" w:rsidP="00265A33">
      <w:pPr>
        <w:pStyle w:val="Nagwek1"/>
        <w:numPr>
          <w:ilvl w:val="0"/>
          <w:numId w:val="17"/>
        </w:numPr>
        <w:jc w:val="both"/>
      </w:pPr>
      <w:bookmarkStart w:id="49" w:name="_Toc21079612"/>
      <w:r w:rsidRPr="00EB7EAA">
        <w:lastRenderedPageBreak/>
        <w:t>Oświadczenie</w:t>
      </w:r>
      <w:bookmarkEnd w:id="48"/>
      <w:bookmarkEnd w:id="49"/>
    </w:p>
    <w:p w14:paraId="23B1A800" w14:textId="77777777" w:rsidR="00147C54" w:rsidRPr="00EB7EAA" w:rsidRDefault="00147C54" w:rsidP="00EB7EAA">
      <w:pPr>
        <w:pStyle w:val="Bezodstpw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6"/>
      </w:tblGrid>
      <w:tr w:rsidR="00147C54" w:rsidRPr="00EB7EAA" w14:paraId="5AB5F344" w14:textId="77777777" w:rsidTr="000E511F">
        <w:trPr>
          <w:trHeight w:val="434"/>
        </w:trPr>
        <w:tc>
          <w:tcPr>
            <w:tcW w:w="5000" w:type="pct"/>
            <w:shd w:val="clear" w:color="auto" w:fill="BFBFBF"/>
            <w:noWrap/>
            <w:vAlign w:val="center"/>
            <w:hideMark/>
          </w:tcPr>
          <w:p w14:paraId="7186C810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="0065660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Wnioskodawcy:</w:t>
            </w:r>
          </w:p>
        </w:tc>
      </w:tr>
      <w:tr w:rsidR="00147C54" w:rsidRPr="00EB7EAA" w14:paraId="5965A5A3" w14:textId="77777777" w:rsidTr="000E511F">
        <w:trPr>
          <w:trHeight w:val="1290"/>
        </w:trPr>
        <w:tc>
          <w:tcPr>
            <w:tcW w:w="5000" w:type="pct"/>
            <w:shd w:val="clear" w:color="auto" w:fill="auto"/>
            <w:vAlign w:val="center"/>
            <w:hideMark/>
          </w:tcPr>
          <w:p w14:paraId="11424F73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Oświadczam,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że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wszelkie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informacje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przedstawione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niniejszym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dokumencie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prawdziwe,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przedstawione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sposób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rzetelny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oraz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przygotowane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oparciu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najpełniejszą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wiedzę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nioskodawcy.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37EE96CA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Jestem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świadomy,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iż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niedoszacowanie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dochodu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generowanego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projekt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fazie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operacyjnej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lub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celowe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przeszacowanie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kosztów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inwestycyjnych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projektu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celu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zmaksymalizowania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dotacji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UE,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może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zostać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potraktowane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jako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nieprawidłowość,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której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zastosowanie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będą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miały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art.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143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nast.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Rozporządzenia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Parlamentu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Europejskiego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Rady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(UE)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nr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1303/2013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grudnia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2013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(Dz.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Urz.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347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20.12.2013,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str.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320,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zm.)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14:paraId="571B9D12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47C54" w:rsidRPr="00EB7EAA" w14:paraId="57EE354F" w14:textId="77777777" w:rsidTr="000E511F">
        <w:trPr>
          <w:trHeight w:val="46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B903FD9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nioskodawcy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lub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osoby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(osób)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uprawnionej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występowania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imieniu:</w:t>
            </w:r>
          </w:p>
        </w:tc>
      </w:tr>
      <w:tr w:rsidR="00147C54" w:rsidRPr="00EB7EAA" w14:paraId="0E53D8F7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87FEA7E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147C54" w:rsidRPr="00EB7EAA" w14:paraId="2C19503D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41B73281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EB7EAA" w14:paraId="316F588F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227F1AD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EB7EAA" w14:paraId="373714F5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7A53035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  <w:tr w:rsidR="00147C54" w:rsidRPr="00EB7EAA" w14:paraId="43BA205F" w14:textId="77777777" w:rsidTr="000E511F">
        <w:trPr>
          <w:trHeight w:val="412"/>
        </w:trPr>
        <w:tc>
          <w:tcPr>
            <w:tcW w:w="5000" w:type="pct"/>
            <w:shd w:val="clear" w:color="auto" w:fill="BFBFBF"/>
            <w:noWrap/>
            <w:vAlign w:val="center"/>
            <w:hideMark/>
          </w:tcPr>
          <w:p w14:paraId="572BBB37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47C54" w:rsidRPr="00EB7EAA" w14:paraId="6E65FE78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678ABDC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147C54" w:rsidRPr="00EB7EAA" w14:paraId="0B713F0D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9E042D8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EB7EAA" w14:paraId="328CB151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28C7C64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EB7EAA" w14:paraId="432B2EEC" w14:textId="77777777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A7B319D" w14:textId="77777777"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14:paraId="6AB3FA3C" w14:textId="77777777" w:rsidR="00147C54" w:rsidRPr="00EB7EAA" w:rsidRDefault="00147C54" w:rsidP="00EB7EA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147C54" w:rsidRPr="00EB7EAA" w:rsidSect="007D53F7">
      <w:footerReference w:type="even" r:id="rId23"/>
      <w:footerReference w:type="default" r:id="rId24"/>
      <w:pgSz w:w="11906" w:h="16838"/>
      <w:pgMar w:top="1440" w:right="1440" w:bottom="1440" w:left="1800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DACB79" w15:done="0"/>
  <w15:commentEx w15:paraId="5F9C28EC" w15:done="0"/>
  <w15:commentEx w15:paraId="771644BC" w15:done="0"/>
  <w15:commentEx w15:paraId="3BCFD4FF" w15:done="0"/>
  <w15:commentEx w15:paraId="755E89EE" w15:done="0"/>
  <w15:commentEx w15:paraId="30C09DB5" w15:done="0"/>
  <w15:commentEx w15:paraId="4B1FB43D" w15:done="0"/>
  <w15:commentEx w15:paraId="53F9DB0B" w15:done="0"/>
  <w15:commentEx w15:paraId="51B34C2C" w15:done="0"/>
  <w15:commentEx w15:paraId="697D56C9" w15:done="0"/>
  <w15:commentEx w15:paraId="370C57A3" w15:done="0"/>
  <w15:commentEx w15:paraId="3C2D8875" w15:done="0"/>
  <w15:commentEx w15:paraId="5077BA0B" w15:done="0"/>
  <w15:commentEx w15:paraId="614CE917" w15:done="0"/>
  <w15:commentEx w15:paraId="3EBF0281" w15:done="0"/>
  <w15:commentEx w15:paraId="14011115" w15:done="0"/>
  <w15:commentEx w15:paraId="7FA7D043" w15:done="0"/>
  <w15:commentEx w15:paraId="4B6B5B3B" w15:done="0"/>
  <w15:commentEx w15:paraId="328652BB" w15:done="0"/>
  <w15:commentEx w15:paraId="38B3D4EC" w15:done="0"/>
  <w15:commentEx w15:paraId="1573FFB2" w15:done="0"/>
  <w15:commentEx w15:paraId="78CA4A18" w15:done="0"/>
  <w15:commentEx w15:paraId="5A1150B3" w15:done="0"/>
  <w15:commentEx w15:paraId="004E8EF9" w15:done="0"/>
  <w15:commentEx w15:paraId="62298901" w15:done="0"/>
  <w15:commentEx w15:paraId="12474FB6" w15:done="0"/>
  <w15:commentEx w15:paraId="20A10157" w15:done="0"/>
  <w15:commentEx w15:paraId="339862A2" w15:done="0"/>
  <w15:commentEx w15:paraId="53BA1D50" w15:done="0"/>
  <w15:commentEx w15:paraId="3EDC95B2" w15:done="0"/>
  <w15:commentEx w15:paraId="795077CA" w15:done="0"/>
  <w15:commentEx w15:paraId="6ADAF856" w15:done="0"/>
  <w15:commentEx w15:paraId="4B41598B" w15:done="0"/>
  <w15:commentEx w15:paraId="7FDA36ED" w15:done="0"/>
  <w15:commentEx w15:paraId="4D7B57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ACB79" w16cid:durableId="213DB1A1"/>
  <w16cid:commentId w16cid:paraId="5F9C28EC" w16cid:durableId="213DB340"/>
  <w16cid:commentId w16cid:paraId="771644BC" w16cid:durableId="213DB54A"/>
  <w16cid:commentId w16cid:paraId="3BCFD4FF" w16cid:durableId="213DB8F3"/>
  <w16cid:commentId w16cid:paraId="755E89EE" w16cid:durableId="213DBED1"/>
  <w16cid:commentId w16cid:paraId="30C09DB5" w16cid:durableId="213DB6A0"/>
  <w16cid:commentId w16cid:paraId="4B1FB43D" w16cid:durableId="213F2E45"/>
  <w16cid:commentId w16cid:paraId="53F9DB0B" w16cid:durableId="213DBB3A"/>
  <w16cid:commentId w16cid:paraId="51B34C2C" w16cid:durableId="213DBBA6"/>
  <w16cid:commentId w16cid:paraId="697D56C9" w16cid:durableId="213DBD66"/>
  <w16cid:commentId w16cid:paraId="370C57A3" w16cid:durableId="213DC116"/>
  <w16cid:commentId w16cid:paraId="3C2D8875" w16cid:durableId="213DC48D"/>
  <w16cid:commentId w16cid:paraId="5077BA0B" w16cid:durableId="213DC5B1"/>
  <w16cid:commentId w16cid:paraId="614CE917" w16cid:durableId="213DD4A5"/>
  <w16cid:commentId w16cid:paraId="3EBF0281" w16cid:durableId="213DD8E8"/>
  <w16cid:commentId w16cid:paraId="14011115" w16cid:durableId="213DD9FA"/>
  <w16cid:commentId w16cid:paraId="7FA7D043" w16cid:durableId="213DDB55"/>
  <w16cid:commentId w16cid:paraId="4B6B5B3B" w16cid:durableId="213DDE2D"/>
  <w16cid:commentId w16cid:paraId="328652BB" w16cid:durableId="213F136F"/>
  <w16cid:commentId w16cid:paraId="38B3D4EC" w16cid:durableId="213F1710"/>
  <w16cid:commentId w16cid:paraId="1573FFB2" w16cid:durableId="213F1CE9"/>
  <w16cid:commentId w16cid:paraId="78CA4A18" w16cid:durableId="213F2364"/>
  <w16cid:commentId w16cid:paraId="5A1150B3" w16cid:durableId="213F2425"/>
  <w16cid:commentId w16cid:paraId="004E8EF9" w16cid:durableId="213F25D2"/>
  <w16cid:commentId w16cid:paraId="62298901" w16cid:durableId="213F2D8A"/>
  <w16cid:commentId w16cid:paraId="12474FB6" w16cid:durableId="213F2BEC"/>
  <w16cid:commentId w16cid:paraId="20A10157" w16cid:durableId="213F2D9A"/>
  <w16cid:commentId w16cid:paraId="339862A2" w16cid:durableId="213F2D27"/>
  <w16cid:commentId w16cid:paraId="53BA1D50" w16cid:durableId="21403C81"/>
  <w16cid:commentId w16cid:paraId="3EDC95B2" w16cid:durableId="21403FB2"/>
  <w16cid:commentId w16cid:paraId="795077CA" w16cid:durableId="21404350"/>
  <w16cid:commentId w16cid:paraId="6ADAF856" w16cid:durableId="21406BD0"/>
  <w16cid:commentId w16cid:paraId="4B41598B" w16cid:durableId="21406D26"/>
  <w16cid:commentId w16cid:paraId="7FDA36ED" w16cid:durableId="21406E51"/>
  <w16cid:commentId w16cid:paraId="4D7B57F2" w16cid:durableId="213DB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740D9" w14:textId="77777777" w:rsidR="0019169C" w:rsidRDefault="0019169C" w:rsidP="00701918">
      <w:pPr>
        <w:spacing w:after="0" w:line="240" w:lineRule="auto"/>
      </w:pPr>
      <w:r>
        <w:separator/>
      </w:r>
    </w:p>
  </w:endnote>
  <w:endnote w:type="continuationSeparator" w:id="0">
    <w:p w14:paraId="0B0F67DC" w14:textId="77777777" w:rsidR="0019169C" w:rsidRDefault="0019169C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85795"/>
      <w:docPartObj>
        <w:docPartGallery w:val="Page Numbers (Bottom of Page)"/>
        <w:docPartUnique/>
      </w:docPartObj>
    </w:sdtPr>
    <w:sdtEndPr/>
    <w:sdtContent>
      <w:p w14:paraId="4EA0A37F" w14:textId="77777777" w:rsidR="006D4FC0" w:rsidRDefault="006D4FC0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D12D6" w14:textId="77777777" w:rsidR="006D4FC0" w:rsidRDefault="006D4F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D021" w14:textId="77777777" w:rsidR="006D4FC0" w:rsidRDefault="006D4FC0" w:rsidP="005863B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C8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815B8" w14:textId="77777777" w:rsidR="0019169C" w:rsidRDefault="0019169C" w:rsidP="00701918">
      <w:pPr>
        <w:spacing w:after="0" w:line="240" w:lineRule="auto"/>
      </w:pPr>
      <w:r>
        <w:separator/>
      </w:r>
    </w:p>
  </w:footnote>
  <w:footnote w:type="continuationSeparator" w:id="0">
    <w:p w14:paraId="3CA6D1A4" w14:textId="77777777" w:rsidR="0019169C" w:rsidRDefault="0019169C" w:rsidP="00701918">
      <w:pPr>
        <w:spacing w:after="0" w:line="240" w:lineRule="auto"/>
      </w:pPr>
      <w:r>
        <w:continuationSeparator/>
      </w:r>
    </w:p>
  </w:footnote>
  <w:footnote w:id="1">
    <w:p w14:paraId="261E3E20" w14:textId="77777777" w:rsidR="006D4FC0" w:rsidRPr="002851B0" w:rsidRDefault="006D4FC0" w:rsidP="00011944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Zgodnie z art. 138 pkt a), w związku z art. 137 ust. 1 rozporządzenia nr 1303/2013 oraz art. 59 ust. 5 Rozporządzenia Parlamentu Europejskiego i Rady (UE, EURATOM) nr 966/2012 z dnia 25 października 2012 r. w sprawie zasad finansowych mających zastosowanie do budżetu ogólnego Unii oraz uchylającego rozporządzenie Rady (WE, </w:t>
      </w:r>
      <w:proofErr w:type="spellStart"/>
      <w:r w:rsidRPr="002851B0">
        <w:t>Euratom</w:t>
      </w:r>
      <w:proofErr w:type="spellEnd"/>
      <w:r w:rsidRPr="002851B0">
        <w:t xml:space="preserve">) nr 1605/2002, terminem tym jest 15 lutego 2025 r. W wyjątkowych wypadkach KE może na wniosek państwa członkowskiego wydłużyć ten termin do dnia 1 marca 2025 r. </w:t>
      </w:r>
    </w:p>
  </w:footnote>
  <w:footnote w:id="2">
    <w:p w14:paraId="71420BFE" w14:textId="77777777" w:rsidR="006D4FC0" w:rsidRPr="002851B0" w:rsidRDefault="006D4FC0" w:rsidP="00FC34F9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rPr>
          <w:sz w:val="20"/>
        </w:rPr>
        <w:t xml:space="preserve"> </w:t>
      </w:r>
      <w:r w:rsidRPr="002851B0">
        <w:t xml:space="preserve">Kursy publikowane są na stronie www: </w:t>
      </w:r>
      <w:hyperlink r:id="rId1" w:history="1">
        <w:r w:rsidRPr="002851B0">
          <w:rPr>
            <w:rStyle w:val="Hipercze"/>
          </w:rPr>
          <w:t>http://www.nbp.pl/home.aspx?f=/kursy/kursy_archiwum.html</w:t>
        </w:r>
      </w:hyperlink>
      <w:r w:rsidRPr="002851B0">
        <w:t xml:space="preserve"> </w:t>
      </w:r>
    </w:p>
  </w:footnote>
  <w:footnote w:id="3">
    <w:p w14:paraId="0DD2FC39" w14:textId="77777777" w:rsidR="006D4FC0" w:rsidRPr="002851B0" w:rsidRDefault="006D4FC0" w:rsidP="00F6476D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Koszty finansowania, np. odsetki od zaciągniętych kredytów nie są uwzględniane w analizie finansowej efektywności inwestycji (oraz analizie luki w finansowaniu). Brane są one natomiast pod uwagę przy obliczaniu efektywności kapitału krajowego. </w:t>
      </w:r>
    </w:p>
  </w:footnote>
  <w:footnote w:id="4">
    <w:p w14:paraId="7222CE60" w14:textId="77777777" w:rsidR="006D4FC0" w:rsidRPr="002851B0" w:rsidRDefault="006D4FC0" w:rsidP="003648F2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W sytuacji, gdy beneficjent (np. gmina) realizuje projekt polegający na termomodernizacji budynku publicznego (np. szkoły) i w związku z powstałymi w wyniku projektu oszczędnościami kosztów operacyjnych (w tym przypadku kosztów ogrzewania) – dotacja na działalność operacyjną w danym roku zostaje obniżona o kwotę ww. oszczędności wygenerowanych w danym roku, przedmiotowy projekt nie stanowi projektu generującego dochód w myśl art. 61 ust. 1 rozporządzenia nr 1303/2013. </w:t>
      </w:r>
    </w:p>
  </w:footnote>
  <w:footnote w:id="5">
    <w:p w14:paraId="3C543781" w14:textId="77777777" w:rsidR="006D4FC0" w:rsidRPr="002851B0" w:rsidRDefault="006D4FC0" w:rsidP="003648F2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Jeżeli na rzecz projektu wnoszony jest wkład niepieniężny (w rozumieniu Wytycznych w zakresie kwalifikowalności wydatków) powinien on również zostać uwzględniony w nakładach inwestycyjnych oraz przy określaniu wartości rezydualnej. </w:t>
      </w:r>
    </w:p>
  </w:footnote>
  <w:footnote w:id="6">
    <w:p w14:paraId="05E228CF" w14:textId="77777777" w:rsidR="006D4FC0" w:rsidRPr="002851B0" w:rsidRDefault="006D4FC0" w:rsidP="00B563B4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W art. 65 ust. 8 rozporządzenia nr 1303/2013 znalazły się regulacje odnoszące się do projektów, które generują dochód wyłącznie podczas ich wdrażania (w fazie inwestycyjnej). W przypadku projektów zaliczających się do tej kategorii wydatki kwalifikowalne są pomniejszane o dochód, który nie został wzięty pod uwagę w czasie zatwierdzania operacji, nie później niż w momencie złożenia przez beneficjenta wniosku o płatność końcową. Jeśli dochód projektu zostanie zidentyfikowany na etapie uniemożliwiającym pomniejszenie wydatków kwalifikowalnych podlegających refundacji, dochód ten jest zwracany przez beneficjenta. </w:t>
      </w:r>
    </w:p>
  </w:footnote>
  <w:footnote w:id="7">
    <w:p w14:paraId="5044319D" w14:textId="77777777" w:rsidR="006D4FC0" w:rsidRPr="002851B0" w:rsidRDefault="006D4FC0" w:rsidP="00B563B4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Patrz </w:t>
      </w:r>
      <w:r w:rsidRPr="002851B0">
        <w:rPr>
          <w:sz w:val="20"/>
        </w:rPr>
        <w:t>przypis</w:t>
      </w:r>
      <w:r w:rsidRPr="002851B0">
        <w:t xml:space="preserve"> 2</w:t>
      </w:r>
    </w:p>
  </w:footnote>
  <w:footnote w:id="8">
    <w:p w14:paraId="63303883" w14:textId="77777777" w:rsidR="006D4FC0" w:rsidRPr="002851B0" w:rsidRDefault="006D4FC0" w:rsidP="00B563B4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Patrz przypis 1</w:t>
      </w:r>
    </w:p>
  </w:footnote>
  <w:footnote w:id="9">
    <w:p w14:paraId="4BF4E9AF" w14:textId="77777777" w:rsidR="006D4FC0" w:rsidRPr="002851B0" w:rsidRDefault="006D4FC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*W przypadku dopuszczalnych limitów określonych dla niektórych kategorii wydatków wyszczególnionych w priorytetach inwestycyjnych RPOWŚ 2014 – 2020, działaniach SZOOP RPOWŚ 2014 – 2020 lub w regulaminach poszczególnych konkursów należy przedstawić te wydatki w powyższej tabeli w odpowiedniej wysokości wraz z metodologią ich wyliczenia.</w:t>
      </w:r>
    </w:p>
  </w:footnote>
  <w:footnote w:id="10">
    <w:p w14:paraId="0DB5AE3A" w14:textId="77777777" w:rsidR="006D4FC0" w:rsidRPr="002851B0" w:rsidRDefault="006D4FC0" w:rsidP="007B7375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The General Block </w:t>
      </w:r>
      <w:proofErr w:type="spellStart"/>
      <w:r w:rsidRPr="002851B0">
        <w:t>Exemption</w:t>
      </w:r>
      <w:proofErr w:type="spellEnd"/>
      <w:r w:rsidRPr="002851B0">
        <w:t xml:space="preserve"> </w:t>
      </w:r>
      <w:proofErr w:type="spellStart"/>
      <w:r w:rsidRPr="002851B0">
        <w:t>Regulation</w:t>
      </w:r>
      <w:proofErr w:type="spellEnd"/>
      <w:r w:rsidRPr="002851B0">
        <w:t xml:space="preserve"> – ogólne rozporządzenie w sprawie </w:t>
      </w:r>
      <w:proofErr w:type="spellStart"/>
      <w:r w:rsidRPr="002851B0">
        <w:t>wyłączeń</w:t>
      </w:r>
      <w:proofErr w:type="spellEnd"/>
      <w:r w:rsidRPr="002851B0">
        <w:t xml:space="preserve"> blokowych.</w:t>
      </w:r>
    </w:p>
  </w:footnote>
  <w:footnote w:id="11">
    <w:p w14:paraId="0DE99DC5" w14:textId="77777777" w:rsidR="006D4FC0" w:rsidRPr="002851B0" w:rsidRDefault="006D4FC0" w:rsidP="0052071B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Np. pkt 19 sprawy C-475/99, </w:t>
      </w:r>
      <w:proofErr w:type="spellStart"/>
      <w:r w:rsidRPr="002851B0">
        <w:rPr>
          <w:i/>
        </w:rPr>
        <w:t>Ambulanz</w:t>
      </w:r>
      <w:proofErr w:type="spellEnd"/>
      <w:r w:rsidRPr="002851B0">
        <w:rPr>
          <w:i/>
        </w:rPr>
        <w:t xml:space="preserve"> </w:t>
      </w:r>
      <w:proofErr w:type="spellStart"/>
      <w:r w:rsidRPr="002851B0">
        <w:rPr>
          <w:i/>
        </w:rPr>
        <w:t>Glöckner</w:t>
      </w:r>
      <w:proofErr w:type="spellEnd"/>
      <w:r w:rsidRPr="002851B0">
        <w:t>, [2001] ECR I-8089 oraz pkt 75 połączonych spraw C</w:t>
      </w:r>
      <w:r w:rsidRPr="002851B0">
        <w:noBreakHyphen/>
        <w:t xml:space="preserve">180/98 do C-184/98, </w:t>
      </w:r>
      <w:proofErr w:type="spellStart"/>
      <w:r w:rsidRPr="002851B0">
        <w:rPr>
          <w:i/>
        </w:rPr>
        <w:t>Pavlov</w:t>
      </w:r>
      <w:proofErr w:type="spellEnd"/>
      <w:r w:rsidRPr="002851B0">
        <w:rPr>
          <w:i/>
        </w:rPr>
        <w:t xml:space="preserve"> and </w:t>
      </w:r>
      <w:proofErr w:type="spellStart"/>
      <w:r w:rsidRPr="002851B0">
        <w:rPr>
          <w:i/>
        </w:rPr>
        <w:t>Others</w:t>
      </w:r>
      <w:proofErr w:type="spellEnd"/>
      <w:r w:rsidRPr="002851B0">
        <w:t>, [2000] ECR I-6451.</w:t>
      </w:r>
    </w:p>
    <w:p w14:paraId="565658F8" w14:textId="77777777" w:rsidR="006D4FC0" w:rsidRPr="002851B0" w:rsidRDefault="006D4FC0">
      <w:pPr>
        <w:pStyle w:val="Tekstprzypisudolnego"/>
      </w:pPr>
    </w:p>
  </w:footnote>
  <w:footnote w:id="12">
    <w:p w14:paraId="49A00A18" w14:textId="77777777" w:rsidR="006D4FC0" w:rsidRPr="002851B0" w:rsidRDefault="006D4FC0" w:rsidP="00776136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Przewodnik po analizie kosztów i korzyści projektów inwestycyjnych. </w:t>
      </w:r>
      <w:r w:rsidRPr="002851B0">
        <w:rPr>
          <w:bCs/>
        </w:rPr>
        <w:t>Narzędzie analizy ekonomicznej polityki spójności 2014–2020</w:t>
      </w:r>
      <w:r w:rsidRPr="002851B0">
        <w:rPr>
          <w:b/>
          <w:bCs/>
        </w:rPr>
        <w:t xml:space="preserve"> </w:t>
      </w:r>
      <w:r w:rsidRPr="002851B0">
        <w:t>(Robocze tłumaczenie na język polski – lipiec 2015 r.)</w:t>
      </w:r>
      <w:r w:rsidRPr="002851B0">
        <w:rPr>
          <w:rFonts w:ascii="Cambria" w:hAnsi="Cambria" w:cs="Cambria"/>
          <w:color w:val="000000"/>
          <w:lang w:eastAsia="pl-PL"/>
        </w:rPr>
        <w:t xml:space="preserve"> </w:t>
      </w:r>
      <w:r w:rsidRPr="002851B0">
        <w:t>Komisji Europejskiej grudzień 2014 r.</w:t>
      </w:r>
    </w:p>
  </w:footnote>
  <w:footnote w:id="13">
    <w:p w14:paraId="1BB0190E" w14:textId="77777777" w:rsidR="006D4FC0" w:rsidRPr="002851B0" w:rsidRDefault="006D4FC0" w:rsidP="007234E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Zgodnie z dyrektywą 2014/61/UE w sprawie środków mających na celu zmniejszenie kosztów realizacji szybkich sieci łączności elektronicznej </w:t>
      </w:r>
    </w:p>
  </w:footnote>
  <w:footnote w:id="14">
    <w:p w14:paraId="4DBDFBDC" w14:textId="77777777" w:rsidR="006D4FC0" w:rsidRPr="002851B0" w:rsidRDefault="006D4FC0" w:rsidP="005B79E3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Zastosowana skala: 0 - brak wpływu 1 - niewielki wpływ 2 - umiarkowany wpływ 3 - istotny wpływ 4 - bardzo duży wpływ.</w:t>
      </w:r>
    </w:p>
  </w:footnote>
  <w:footnote w:id="15">
    <w:p w14:paraId="0C741598" w14:textId="77777777" w:rsidR="006D4FC0" w:rsidRPr="002851B0" w:rsidRDefault="006D4FC0" w:rsidP="00581D10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Zgodnie z podejściem zakładającym ocenę kosztu cyklu życia obejmuje to (zdyskontowaną) sumę wszystkich istotnych kosztów występujących w cyklu życia projektu: koszty inwestycji, koszty eksploatacji i utrzymania, koszty odtworzenia oraz, w stosownych przypadkach, koszty likwidacji szkód. </w:t>
      </w:r>
    </w:p>
  </w:footnote>
  <w:footnote w:id="16">
    <w:p w14:paraId="5C6D268F" w14:textId="77777777" w:rsidR="006D4FC0" w:rsidRPr="002851B0" w:rsidRDefault="006D4FC0" w:rsidP="00D36F68">
      <w:pPr>
        <w:pStyle w:val="Tekstprzypisudolnego"/>
        <w:rPr>
          <w:lang w:eastAsia="pl-PL"/>
        </w:rPr>
      </w:pPr>
      <w:r w:rsidRPr="002851B0">
        <w:rPr>
          <w:rStyle w:val="Odwoanieprzypisudolnego"/>
          <w:sz w:val="20"/>
        </w:rPr>
        <w:footnoteRef/>
      </w:r>
      <w:r w:rsidRPr="002851B0">
        <w:t xml:space="preserve"> </w:t>
      </w:r>
      <w:r w:rsidRPr="002851B0">
        <w:rPr>
          <w:lang w:eastAsia="pl-PL"/>
        </w:rPr>
        <w:t>Rozporządzenie Ministra Infrastruktury z dnia 17 marca 2009 r. w sprawie szczegółowego zakresu i form audytu energetycznego oraz części audytu remontowego, wzorów kart audytów, a także algorytmu oceny opłacalności przedsięwzięcia termomodernizacyjnego (Dz. U. z 2009 r., nr 43, poz. 346), Dyrektywa Parlamentu Europejskiego i Rady 2012/27/UE z dnia 25 października 2012 r. w sprawie efektywności energetycznej, zmiany dyrektywy 2009/125/WE i 2010/30/UE oraz uchylenia dyrektyw 2004/8/WE i 2006/32/WE (Dz. U. UE z dnia 14.11.2012 r., nr L 315/1).</w:t>
      </w:r>
    </w:p>
  </w:footnote>
  <w:footnote w:id="17">
    <w:p w14:paraId="626D1A95" w14:textId="77777777" w:rsidR="006D4FC0" w:rsidRPr="002851B0" w:rsidRDefault="006D4FC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</w:t>
      </w:r>
      <w:r w:rsidRPr="002851B0">
        <w:rPr>
          <w:rStyle w:val="Uwydatnienie"/>
        </w:rPr>
        <w:t>Instytucja Zarządzająca Regionalnym Programem Operacyjnym Województwa Świętokrzyskiego na lata 2014-2020, przypomina iż zgodnie z Rozporządzeniem Parlamentu Europejskiego i Rady (UE) nr 1303/2013 z dnia 17 grudnia 2013r. obowiązuje zakaz podwójnego finansowania wydatków i zaliczania do kosztów uzyskania przychodów w prowadzonej działalności, odpisów z tytułu zużycia środków trwałych oraz wartości niematerialnych i prawnych dokonywanych od tej części ich wartości, która odpowiada poniesionym wydatkom na nabycie lub wytworzenie we własnym zakresie tych środków lub wartości niematerialnych i prawnych zwróconych podatnikowi w jakiejkolwiek formie".</w:t>
      </w:r>
    </w:p>
  </w:footnote>
  <w:footnote w:id="18">
    <w:p w14:paraId="0EA1AFC8" w14:textId="77777777" w:rsidR="006D4FC0" w:rsidRPr="002851B0" w:rsidRDefault="006D4FC0" w:rsidP="005F582D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Wytyczne dotyczące założeń makroekonomicznych na potrzeby wieloletnich prognoz finansowych jednostek samorządu terytorialnego. Aktualizacja – październik 2014. Ministerstwo Finansów, Warszawa 2014. </w:t>
      </w:r>
    </w:p>
  </w:footnote>
  <w:footnote w:id="19">
    <w:p w14:paraId="6BE1437A" w14:textId="77777777" w:rsidR="006D4FC0" w:rsidRPr="002851B0" w:rsidRDefault="006D4FC0" w:rsidP="005F582D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Załącznik I do rozporządzenia nr 480/2014. </w:t>
      </w:r>
    </w:p>
  </w:footnote>
  <w:footnote w:id="20">
    <w:p w14:paraId="3BE68586" w14:textId="77777777" w:rsidR="006D4FC0" w:rsidRPr="002851B0" w:rsidRDefault="006D4FC0" w:rsidP="005F582D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Informacje nt. projektów, które mogą być zakwalifikowane do tego sektora, patrz: Przewodnik AKK, rozdział 7 </w:t>
      </w:r>
    </w:p>
  </w:footnote>
  <w:footnote w:id="21">
    <w:p w14:paraId="159D363B" w14:textId="77777777" w:rsidR="006D4FC0" w:rsidRPr="002851B0" w:rsidRDefault="006D4FC0" w:rsidP="00E56D6D">
      <w:pPr>
        <w:pStyle w:val="Tekstprzypisudolnego"/>
        <w:jc w:val="both"/>
      </w:pPr>
      <w:r w:rsidRPr="002851B0">
        <w:rPr>
          <w:rStyle w:val="Odwoanieprzypisudolnego"/>
        </w:rPr>
        <w:footnoteRef/>
      </w:r>
      <w:r w:rsidRPr="002851B0">
        <w:t xml:space="preserve"> Sektorów, w których realizowane są projekty mające na celu realizację usług ogólnego interesu gospodarczego – usług, które nie byłyby świadczone na rynku (lub byłyby świadczone na innych warunkach, jeżeli chodzi o jakość, bezpieczeństwo, przystępność cenową, równe traktowanie czy powszechny dostęp) bez interwencji publicznej. </w:t>
      </w:r>
    </w:p>
  </w:footnote>
  <w:footnote w:id="22">
    <w:p w14:paraId="4B363306" w14:textId="77777777" w:rsidR="006D4FC0" w:rsidRPr="002851B0" w:rsidRDefault="006D4FC0" w:rsidP="005C03AE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Zdyskontowana wartość rezydualna nie jest brana pod uwagę przy ustalaniu czy projekt jest projektem generującym dochód. W przypadku projektów generujących dochód wartość rezydualna powinna zostać uwzględniona przy obliczaniu wskaźnika luki w finansowaniu, powiększając dochód (DNR). </w:t>
      </w:r>
    </w:p>
  </w:footnote>
  <w:footnote w:id="23">
    <w:p w14:paraId="795052DB" w14:textId="77777777" w:rsidR="006D4FC0" w:rsidRPr="002851B0" w:rsidRDefault="006D4FC0" w:rsidP="0073486C">
      <w:pPr>
        <w:pStyle w:val="Tekstprzypisudolnego"/>
      </w:pPr>
      <w:r w:rsidRPr="002851B0">
        <w:rPr>
          <w:rStyle w:val="Odwoanieprzypisudolnego"/>
          <w:sz w:val="20"/>
        </w:rPr>
        <w:footnoteRef/>
      </w:r>
      <w:r w:rsidRPr="002851B0">
        <w:t xml:space="preserve"> Patrz przypis 1</w:t>
      </w:r>
    </w:p>
  </w:footnote>
  <w:footnote w:id="24">
    <w:p w14:paraId="1987880F" w14:textId="77777777" w:rsidR="006D4FC0" w:rsidRPr="002851B0" w:rsidRDefault="006D4FC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Patrz przypis 1</w:t>
      </w:r>
    </w:p>
  </w:footnote>
  <w:footnote w:id="25">
    <w:p w14:paraId="7F7B5B85" w14:textId="77777777" w:rsidR="006D4FC0" w:rsidRPr="002851B0" w:rsidRDefault="006D4FC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Patrz przypis 13</w:t>
      </w:r>
    </w:p>
  </w:footnote>
  <w:footnote w:id="26">
    <w:p w14:paraId="3A7306BC" w14:textId="77777777" w:rsidR="006D4FC0" w:rsidRPr="002851B0" w:rsidRDefault="006D4FC0" w:rsidP="00F2727E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W tym zakresie należy uwzględnić zalecenia metodologiczne dot. prowadzenia analizy ekonomicznej zawarte w </w:t>
      </w:r>
      <w:r w:rsidRPr="002851B0">
        <w:rPr>
          <w:i/>
          <w:iCs/>
        </w:rPr>
        <w:t xml:space="preserve">Przewodniku AKK. </w:t>
      </w:r>
    </w:p>
  </w:footnote>
  <w:footnote w:id="27">
    <w:p w14:paraId="69D6393B" w14:textId="77777777" w:rsidR="006D4FC0" w:rsidRPr="002851B0" w:rsidRDefault="006D4FC0" w:rsidP="00104B72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VIII-a część kodu charakteryzującego specjalność komórki organizacyjnej zakładu leczniczego zgodnie z załącznikiem do Rozporządzenia Ministra Zdrowia z dnia 17 maja 2012r. w sprawie systemu resortowych kodów identyfikacyjnych oraz szczegółowego sposobu ich nadawania</w:t>
      </w:r>
    </w:p>
  </w:footnote>
  <w:footnote w:id="28">
    <w:p w14:paraId="2DF2C606" w14:textId="329EAAA7" w:rsidR="006D4FC0" w:rsidRPr="00BD30C5" w:rsidRDefault="006D4FC0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DE4AD6">
        <w:t>Mapa potrzeb zdrowotnych w zakresie lecznictwa szpitalnego dla woj. świętokrzyskiego. Warszawa 2018 (rozdział 2 – Analiza stanu i wykorzystania zasobów; podrozdział 2.5 -  Zasoby sprzętowe; str. 551 – 594)</w:t>
      </w:r>
    </w:p>
  </w:footnote>
  <w:footnote w:id="29">
    <w:p w14:paraId="5A5E6B97" w14:textId="263509B8" w:rsidR="006D4FC0" w:rsidRPr="002851B0" w:rsidRDefault="006D4FC0">
      <w:pPr>
        <w:pStyle w:val="Tekstprzypisudolnego"/>
      </w:pPr>
      <w:r w:rsidRPr="002851B0">
        <w:rPr>
          <w:rStyle w:val="Odwoanieprzypisudolnego"/>
        </w:rPr>
        <w:footnoteRef/>
      </w:r>
      <w:r w:rsidRPr="002851B0">
        <w:t xml:space="preserve"> </w:t>
      </w:r>
      <w:r w:rsidRPr="002851B0">
        <w:rPr>
          <w:color w:val="000000"/>
        </w:rPr>
        <w:t>*wskaźnik kosztów serwisu (napraw) wyrobu medycznego = koszt wszelkich wydatków poniesionych na przeglądy techniczne, remonty i naprawy od początku użytkowania wyrobu medycznego / wartość brutto nowego wyrobu medycznego * 100%</w:t>
      </w:r>
    </w:p>
  </w:footnote>
  <w:footnote w:id="30">
    <w:p w14:paraId="3D35E613" w14:textId="77777777" w:rsidR="006D4FC0" w:rsidRPr="002851B0" w:rsidRDefault="006D4FC0" w:rsidP="00FF6D76">
      <w:pPr>
        <w:spacing w:before="0" w:beforeAutospacing="0" w:after="0" w:afterAutospacing="0" w:line="240" w:lineRule="auto"/>
        <w:rPr>
          <w:rStyle w:val="TekstprzypisudolnegoZnak"/>
        </w:rPr>
      </w:pPr>
      <w:r w:rsidRPr="002851B0">
        <w:rPr>
          <w:rStyle w:val="Odwoanieprzypisudolnego"/>
        </w:rPr>
        <w:footnoteRef/>
      </w:r>
      <w:r w:rsidRPr="002851B0">
        <w:t xml:space="preserve"> </w:t>
      </w:r>
      <w:r w:rsidRPr="002851B0">
        <w:rPr>
          <w:rStyle w:val="TekstprzypisudolnegoZnak"/>
        </w:rPr>
        <w:t>Projekt o charakterze nieinfrastrukturalnym należy rozumieć jako projekt zakupowy, szkoleniowy, edukacyjny, reklamowy, badawczy, który nie powoduje ingerencji w środowisku lub nie polega na przekształceniu terenu lub zmianie jego wykorzystywania.</w:t>
      </w:r>
    </w:p>
  </w:footnote>
  <w:footnote w:id="31">
    <w:p w14:paraId="609E4166" w14:textId="77777777" w:rsidR="006D4FC0" w:rsidRDefault="006D4FC0" w:rsidP="005E65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1B0">
        <w:rPr>
          <w:b/>
          <w:bCs/>
        </w:rPr>
        <w:t>opieka koordyn</w:t>
      </w:r>
      <w:r w:rsidRPr="002851B0">
        <w:rPr>
          <w:b/>
          <w:bCs/>
          <w:i/>
        </w:rPr>
        <w:t>o</w:t>
      </w:r>
      <w:r w:rsidRPr="002851B0">
        <w:rPr>
          <w:b/>
          <w:bCs/>
        </w:rPr>
        <w:t>wana –</w:t>
      </w:r>
      <w:r w:rsidRPr="002851B0">
        <w:t xml:space="preserve"> to rozwiązania organizacyjne (procesowe i technologiczne) mające na celu poprawę efektów zdrowotnych (</w:t>
      </w:r>
      <w:proofErr w:type="spellStart"/>
      <w:r w:rsidRPr="002851B0">
        <w:rPr>
          <w:i/>
          <w:iCs/>
        </w:rPr>
        <w:t>outcomes</w:t>
      </w:r>
      <w:proofErr w:type="spellEnd"/>
      <w:r w:rsidRPr="002851B0">
        <w:t>) poprzez przezwyciężanie fragmentacji procesu leczenia (dostawy – udzielania – usług zdrowotnych) w wyniku zarządzania i koordynacji procesem udzielania (dostawy) usług zdrowotnych w oparciu o zasadę ciągłości leczenia pacjenta (</w:t>
      </w:r>
      <w:r w:rsidRPr="002851B0">
        <w:rPr>
          <w:i/>
          <w:iCs/>
        </w:rPr>
        <w:t xml:space="preserve">continuum of </w:t>
      </w:r>
      <w:proofErr w:type="spellStart"/>
      <w:r w:rsidRPr="002851B0">
        <w:rPr>
          <w:i/>
          <w:iCs/>
        </w:rPr>
        <w:t>care</w:t>
      </w:r>
      <w:proofErr w:type="spellEnd"/>
      <w:r w:rsidRPr="002851B0">
        <w:t>). Podstawą funkcjonowania systemu opieki koordynowanej jest wprowadzenie rozwiązań koncentrujących się nie na liczbie (</w:t>
      </w:r>
      <w:proofErr w:type="spellStart"/>
      <w:r w:rsidRPr="002851B0">
        <w:rPr>
          <w:i/>
          <w:iCs/>
        </w:rPr>
        <w:t>output</w:t>
      </w:r>
      <w:proofErr w:type="spellEnd"/>
      <w:r w:rsidRPr="002851B0">
        <w:t>)</w:t>
      </w:r>
    </w:p>
  </w:footnote>
  <w:footnote w:id="32">
    <w:p w14:paraId="3C781896" w14:textId="77777777" w:rsidR="006D4FC0" w:rsidRPr="002851B0" w:rsidRDefault="006D4FC0" w:rsidP="00A90EA1">
      <w:pPr>
        <w:pStyle w:val="Tekstprzypisudolnego"/>
        <w:rPr>
          <w:rFonts w:cs="Calibri"/>
          <w:color w:val="000000"/>
          <w:szCs w:val="16"/>
        </w:rPr>
      </w:pPr>
      <w:r w:rsidRPr="002851B0">
        <w:rPr>
          <w:rStyle w:val="Odwoanieprzypisudolnego"/>
          <w:szCs w:val="16"/>
        </w:rPr>
        <w:footnoteRef/>
      </w:r>
      <w:r w:rsidRPr="002851B0">
        <w:rPr>
          <w:szCs w:val="16"/>
        </w:rPr>
        <w:t xml:space="preserve"> </w:t>
      </w:r>
      <w:r w:rsidRPr="002851B0">
        <w:rPr>
          <w:rFonts w:cs="Calibri"/>
          <w:b/>
          <w:bCs/>
          <w:color w:val="000000"/>
          <w:szCs w:val="16"/>
        </w:rPr>
        <w:t xml:space="preserve">Umowa podwykonawstwa </w:t>
      </w:r>
      <w:r w:rsidRPr="002851B0">
        <w:rPr>
          <w:rFonts w:cs="Calibri"/>
          <w:color w:val="000000"/>
          <w:szCs w:val="16"/>
        </w:rPr>
        <w:t xml:space="preserve">zawarta przez Wnioskodawcę powinna </w:t>
      </w:r>
      <w:r w:rsidRPr="002851B0">
        <w:t>obejmować</w:t>
      </w:r>
      <w:r w:rsidRPr="002851B0">
        <w:rPr>
          <w:rFonts w:cs="Calibri"/>
          <w:color w:val="000000"/>
          <w:szCs w:val="16"/>
        </w:rPr>
        <w:t xml:space="preserve"> wyłącznie zwrot kosztów eksploatacyjnych infrastruktury stanowiącej przedmiot projektu i nie generować przychodu w projekcie. Zawarcie umowy dopuszcza się pod warunkiem, że nie będzie kolidować z wykorzystywaniem wyrobów medycznych do udzielania świadczeń zdrowotnych stanowiących przedmiot konkursu. </w:t>
      </w:r>
    </w:p>
  </w:footnote>
  <w:footnote w:id="33">
    <w:p w14:paraId="1D1429CB" w14:textId="0E80B63B" w:rsidR="006D4FC0" w:rsidRPr="00275785" w:rsidRDefault="006D4FC0" w:rsidP="00275785">
      <w:pPr>
        <w:pStyle w:val="Tekstprzypisudolnego"/>
        <w:jc w:val="both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 w:rsidRPr="00275785">
        <w:rPr>
          <w:rFonts w:cs="Calibri"/>
          <w:b/>
        </w:rPr>
        <w:t>Program restrukturyzacji</w:t>
      </w:r>
      <w:r w:rsidRPr="00275785">
        <w:rPr>
          <w:rFonts w:cs="Calibri"/>
        </w:rPr>
        <w:t xml:space="preserve"> (naprawczy; strategiczny; rozwoju) stanowi dokument, który zawiera rozwiązania </w:t>
      </w:r>
      <w:proofErr w:type="spellStart"/>
      <w:r w:rsidRPr="00275785">
        <w:rPr>
          <w:rFonts w:cs="Calibri"/>
        </w:rPr>
        <w:t>organizacyjno</w:t>
      </w:r>
      <w:proofErr w:type="spellEnd"/>
      <w:r w:rsidRPr="00275785">
        <w:rPr>
          <w:rFonts w:cs="Calibri"/>
        </w:rPr>
        <w:t xml:space="preserve"> - zarządcze prowadzące do poprawy efektywności oraz lepszego wykorzystania środków finansowych będących w dyspozycji podmiotu leczniczego. Przedmiot projektu wynika ze wskazanych w programie działań dotyczących reorganizacji i restrukturyzacji wewnątrz podmiotu leczniczego.</w:t>
      </w:r>
    </w:p>
  </w:footnote>
  <w:footnote w:id="34">
    <w:p w14:paraId="5AECE7C6" w14:textId="728B03A5" w:rsidR="006D4FC0" w:rsidRPr="00B15024" w:rsidRDefault="006D4FC0">
      <w:pPr>
        <w:pStyle w:val="Tekstprzypisudolnego"/>
        <w:rPr>
          <w:rFonts w:cs="Calibri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15024">
        <w:rPr>
          <w:rFonts w:cs="Calibri"/>
          <w:szCs w:val="16"/>
        </w:rPr>
        <w:t xml:space="preserve">pismo znak: WSOZ-DMAPS.036.5.2019 </w:t>
      </w:r>
      <w:proofErr w:type="spellStart"/>
      <w:r w:rsidRPr="00B15024">
        <w:rPr>
          <w:rFonts w:cs="Calibri"/>
          <w:szCs w:val="16"/>
        </w:rPr>
        <w:t>ŚwOW</w:t>
      </w:r>
      <w:proofErr w:type="spellEnd"/>
      <w:r w:rsidRPr="00B15024">
        <w:rPr>
          <w:rFonts w:cs="Calibri"/>
          <w:szCs w:val="16"/>
        </w:rPr>
        <w:t xml:space="preserve"> NFZ.1.KA z dnia 14 maja 2019 roku</w:t>
      </w:r>
    </w:p>
  </w:footnote>
  <w:footnote w:id="35">
    <w:p w14:paraId="20BA8426" w14:textId="77777777" w:rsidR="006D4FC0" w:rsidRPr="002851B0" w:rsidRDefault="006D4FC0" w:rsidP="00CB0857">
      <w:pPr>
        <w:pStyle w:val="Tekstprzypisudolnego"/>
        <w:rPr>
          <w:rFonts w:asciiTheme="minorHAnsi" w:hAnsiTheme="minorHAnsi"/>
          <w:szCs w:val="16"/>
        </w:rPr>
      </w:pPr>
      <w:r w:rsidRPr="002851B0">
        <w:rPr>
          <w:rStyle w:val="Odwoanieprzypisudolnego"/>
          <w:szCs w:val="16"/>
        </w:rPr>
        <w:footnoteRef/>
      </w:r>
      <w:r w:rsidRPr="002851B0">
        <w:rPr>
          <w:szCs w:val="16"/>
        </w:rPr>
        <w:t xml:space="preserve"> </w:t>
      </w:r>
      <w:r w:rsidRPr="002851B0">
        <w:rPr>
          <w:rFonts w:asciiTheme="minorHAnsi" w:hAnsiTheme="minorHAnsi"/>
          <w:b/>
          <w:bCs/>
          <w:color w:val="000000"/>
          <w:szCs w:val="16"/>
          <w:lang w:eastAsia="pl-PL"/>
        </w:rPr>
        <w:t xml:space="preserve">Wskaźnik obłożenia standardowego łóżek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liczba osobodni 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liczba łóżek (2) </m:t>
            </m:r>
          </m:den>
        </m:f>
        <m:r>
          <w:rPr>
            <w:rFonts w:ascii="Cambria Math" w:hAnsi="Cambria Math"/>
          </w:rPr>
          <m:t xml:space="preserve"> /liczbę dni działalności (3) * 100%</m:t>
        </m:r>
      </m:oMath>
      <w:r w:rsidRPr="002851B0">
        <w:rPr>
          <w:rFonts w:asciiTheme="minorHAnsi" w:hAnsiTheme="minorHAnsi"/>
        </w:rPr>
        <w:t xml:space="preserve"> </w:t>
      </w:r>
      <w:r w:rsidRPr="002851B0">
        <w:rPr>
          <w:rFonts w:asciiTheme="minorHAnsi" w:hAnsiTheme="minorHAnsi"/>
          <w:szCs w:val="16"/>
        </w:rPr>
        <w:t>gdzie dla okresu sprawozdawczego:</w:t>
      </w:r>
      <w:r w:rsidRPr="002851B0">
        <w:rPr>
          <w:rFonts w:asciiTheme="minorHAnsi" w:hAnsiTheme="minorHAnsi"/>
          <w:color w:val="000000"/>
          <w:szCs w:val="16"/>
          <w:lang w:eastAsia="pl-PL"/>
        </w:rPr>
        <w:t xml:space="preserve"> </w:t>
      </w:r>
    </w:p>
    <w:p w14:paraId="2E6C75D4" w14:textId="77777777" w:rsidR="006D4FC0" w:rsidRPr="002851B0" w:rsidRDefault="006D4FC0" w:rsidP="00CB0857">
      <w:pPr>
        <w:pStyle w:val="Tekstprzypisudolnego"/>
        <w:rPr>
          <w:rFonts w:asciiTheme="minorHAnsi" w:hAnsiTheme="minorHAnsi" w:cstheme="minorHAnsi"/>
          <w:color w:val="000000"/>
          <w:szCs w:val="16"/>
          <w:lang w:eastAsia="pl-PL"/>
        </w:rPr>
      </w:pPr>
      <w:r w:rsidRPr="002851B0">
        <w:rPr>
          <w:rFonts w:asciiTheme="minorHAnsi" w:hAnsiTheme="minorHAnsi" w:cstheme="minorHAnsi"/>
          <w:b/>
          <w:bCs/>
          <w:color w:val="000000"/>
          <w:szCs w:val="16"/>
          <w:lang w:eastAsia="pl-PL"/>
        </w:rPr>
        <w:t xml:space="preserve">(1) liczba osobodni </w:t>
      </w:r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stanowi iloczyn (mnożenie) liczby hospitalizowanych w okresie sprawozdawczym w danym oddziale i czasu ich hospitalizacji liczonym od chwili wpisu do księgi głównej do chwili wypisu, przy czym dzień przyjęcia i dzień wypisu liczy się jako jeden dzień. Jednocześnie </w:t>
      </w:r>
      <w:r w:rsidRPr="002851B0">
        <w:rPr>
          <w:rFonts w:asciiTheme="minorHAnsi" w:hAnsiTheme="minorHAnsi" w:cstheme="minorHAnsi"/>
          <w:b/>
          <w:bCs/>
          <w:color w:val="000000"/>
          <w:szCs w:val="16"/>
          <w:lang w:eastAsia="pl-PL"/>
        </w:rPr>
        <w:t xml:space="preserve">w przypadku, gdy oddział prowadzi leczenie w systemie jednodniowym </w:t>
      </w:r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(dziennym) tj. w systemie, w którym data przyjęcia jest również datą wypisu, </w:t>
      </w:r>
      <w:r w:rsidRPr="002851B0">
        <w:rPr>
          <w:rFonts w:asciiTheme="minorHAnsi" w:hAnsiTheme="minorHAnsi" w:cstheme="minorHAnsi"/>
          <w:b/>
          <w:bCs/>
          <w:color w:val="000000"/>
          <w:szCs w:val="16"/>
          <w:lang w:eastAsia="pl-PL"/>
        </w:rPr>
        <w:t xml:space="preserve">należy </w:t>
      </w:r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w łącznej liczbie osobodni </w:t>
      </w:r>
      <w:r w:rsidRPr="002851B0">
        <w:rPr>
          <w:rFonts w:asciiTheme="minorHAnsi" w:hAnsiTheme="minorHAnsi" w:cstheme="minorHAnsi"/>
          <w:b/>
          <w:bCs/>
          <w:color w:val="000000"/>
          <w:szCs w:val="16"/>
          <w:lang w:eastAsia="pl-PL"/>
        </w:rPr>
        <w:t xml:space="preserve">ująć także liczbę osobodni pacjentów leczonych w systemie jednodniowym poprzez </w:t>
      </w:r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dodanie do liczby osobodni iloczynu (mnożenie) liczby leczonych w systemie jednodniowym w okresie sprawozdawczym i 1 dnia. </w:t>
      </w:r>
    </w:p>
    <w:p w14:paraId="11F11F8F" w14:textId="77777777" w:rsidR="006D4FC0" w:rsidRPr="002851B0" w:rsidRDefault="006D4FC0" w:rsidP="00CB0857">
      <w:pPr>
        <w:pStyle w:val="Tekstprzypisudolnego"/>
        <w:rPr>
          <w:rFonts w:asciiTheme="minorHAnsi" w:hAnsiTheme="minorHAnsi" w:cstheme="minorHAnsi"/>
          <w:color w:val="000000"/>
          <w:szCs w:val="16"/>
          <w:lang w:eastAsia="pl-PL"/>
        </w:rPr>
      </w:pPr>
      <w:r w:rsidRPr="002851B0">
        <w:rPr>
          <w:rFonts w:asciiTheme="minorHAnsi" w:hAnsiTheme="minorHAnsi" w:cstheme="minorHAnsi"/>
          <w:b/>
          <w:bCs/>
          <w:color w:val="000000"/>
          <w:szCs w:val="16"/>
          <w:lang w:eastAsia="pl-PL"/>
        </w:rPr>
        <w:t xml:space="preserve">(2) liczba łóżek </w:t>
      </w:r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to liczba łóżek w danym oddziale na koniec okresu sprawozdawczego, która została wskazana w księdze rejestrowej podmiotu leczniczego (RPWDL: </w:t>
      </w:r>
      <w:hyperlink r:id="rId2" w:history="1">
        <w:r w:rsidRPr="002851B0">
          <w:rPr>
            <w:rStyle w:val="Hipercze"/>
            <w:rFonts w:asciiTheme="minorHAnsi" w:hAnsiTheme="minorHAnsi" w:cstheme="minorHAnsi"/>
            <w:szCs w:val="16"/>
            <w:lang w:eastAsia="pl-PL"/>
          </w:rPr>
          <w:t>https://rpwdl.csioz.gov.pl/RPM/Search</w:t>
        </w:r>
      </w:hyperlink>
      <w:r w:rsidRPr="002851B0">
        <w:rPr>
          <w:rFonts w:asciiTheme="minorHAnsi" w:hAnsiTheme="minorHAnsi" w:cstheme="minorHAnsi"/>
          <w:color w:val="000000"/>
          <w:szCs w:val="16"/>
          <w:lang w:eastAsia="pl-PL"/>
        </w:rPr>
        <w:t xml:space="preserve">) </w:t>
      </w:r>
    </w:p>
    <w:p w14:paraId="42F69743" w14:textId="4C1B9AE0" w:rsidR="006D4FC0" w:rsidRPr="002851B0" w:rsidRDefault="006D4FC0" w:rsidP="00CB0857">
      <w:pPr>
        <w:pStyle w:val="Tekstprzypisudolnego"/>
        <w:rPr>
          <w:lang w:eastAsia="pl-PL"/>
        </w:rPr>
      </w:pPr>
      <w:r w:rsidRPr="002851B0">
        <w:rPr>
          <w:b/>
          <w:bCs/>
          <w:lang w:eastAsia="pl-PL"/>
        </w:rPr>
        <w:t xml:space="preserve">(3) liczba dni działalności </w:t>
      </w:r>
      <w:r w:rsidRPr="002851B0">
        <w:rPr>
          <w:lang w:eastAsia="pl-PL"/>
        </w:rPr>
        <w:t xml:space="preserve">w okresie sprawozdawczym stanowi liczbę dni działalności danego </w:t>
      </w:r>
      <w:r w:rsidRPr="002851B0">
        <w:t>oddziału</w:t>
      </w:r>
      <w:r w:rsidRPr="002851B0">
        <w:rPr>
          <w:lang w:eastAsia="pl-PL"/>
        </w:rPr>
        <w:t xml:space="preserve"> w ciągu okresu sprawozdawczego (rok sprawozdawczy = 365), a </w:t>
      </w:r>
      <w:r w:rsidRPr="002851B0">
        <w:rPr>
          <w:b/>
          <w:bCs/>
          <w:lang w:eastAsia="pl-PL"/>
        </w:rPr>
        <w:t>w przypadku czasowego zaprzestania działalności leczniczej</w:t>
      </w:r>
      <w:r w:rsidRPr="002851B0">
        <w:rPr>
          <w:lang w:eastAsia="pl-PL"/>
        </w:rPr>
        <w:t xml:space="preserve">, zgodnie z art. 34 ustawy o działalności leczniczej, liczba dni działalności danego oddziału stanowi </w:t>
      </w:r>
      <w:r w:rsidRPr="002851B0">
        <w:t xml:space="preserve">różnicę pomiędzy 365 a liczbą dni czasowego zaprzestania </w:t>
      </w:r>
      <w:r w:rsidRPr="002851B0">
        <w:rPr>
          <w:lang w:eastAsia="pl-PL"/>
        </w:rPr>
        <w:t>działalności</w:t>
      </w:r>
      <w:r w:rsidRPr="002851B0">
        <w:t xml:space="preserve">, która została wskazana w księdze rejestrowej podmiotu leczniczego (RPWDL: </w:t>
      </w:r>
      <w:hyperlink r:id="rId3" w:history="1">
        <w:r w:rsidRPr="002851B0">
          <w:rPr>
            <w:rStyle w:val="Hipercze"/>
            <w:rFonts w:asciiTheme="minorHAnsi" w:hAnsiTheme="minorHAnsi" w:cstheme="minorHAnsi"/>
            <w:szCs w:val="16"/>
          </w:rPr>
          <w:t>https://rpwdl.csioz.gov.pl/RPM/Search</w:t>
        </w:r>
      </w:hyperlink>
      <w:r w:rsidRPr="002851B0">
        <w:t>)</w:t>
      </w:r>
      <w:r w:rsidRPr="002851B0">
        <w:rPr>
          <w:sz w:val="20"/>
        </w:rPr>
        <w:t xml:space="preserve"> </w:t>
      </w:r>
    </w:p>
  </w:footnote>
  <w:footnote w:id="36">
    <w:p w14:paraId="06705D09" w14:textId="3E16484E" w:rsidR="006D4FC0" w:rsidRPr="005A6713" w:rsidRDefault="006D4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R</w:t>
      </w:r>
      <w:r w:rsidRPr="005A6713">
        <w:rPr>
          <w:rFonts w:asciiTheme="minorHAnsi" w:hAnsiTheme="minorHAnsi" w:cstheme="minorHAnsi"/>
          <w:color w:val="000000"/>
          <w:szCs w:val="24"/>
          <w:lang w:eastAsia="pl-PL"/>
        </w:rPr>
        <w:t>ozporządzenia Ministra Zdrowia z dnia 12 kwietnia 2017 roku w sprawie wskaźników ekonomiczno-finansowych niezbędnych do sporządzenia analizy oraz prognozy sytuacji ekonomiczno-finansowej samodzielnych publicznych zakładów opieki zdrowotnej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.</w:t>
      </w:r>
    </w:p>
  </w:footnote>
  <w:footnote w:id="37">
    <w:p w14:paraId="2036CEEF" w14:textId="0C97AED4" w:rsidR="006D4FC0" w:rsidRDefault="006D4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6752">
        <w:rPr>
          <w:b/>
          <w:bCs/>
        </w:rPr>
        <w:t>K</w:t>
      </w:r>
      <w:r w:rsidRPr="00156752">
        <w:rPr>
          <w:rFonts w:asciiTheme="minorHAnsi" w:hAnsiTheme="minorHAnsi" w:cstheme="minorHAnsi"/>
          <w:b/>
          <w:bCs/>
          <w:color w:val="000000"/>
        </w:rPr>
        <w:t>ompleksow</w:t>
      </w:r>
      <w:r>
        <w:rPr>
          <w:rFonts w:asciiTheme="minorHAnsi" w:hAnsiTheme="minorHAnsi" w:cstheme="minorHAnsi"/>
          <w:b/>
          <w:bCs/>
          <w:color w:val="000000"/>
        </w:rPr>
        <w:t>a</w:t>
      </w:r>
      <w:r w:rsidRPr="00156752">
        <w:rPr>
          <w:rFonts w:asciiTheme="minorHAnsi" w:hAnsiTheme="minorHAnsi" w:cstheme="minorHAnsi"/>
          <w:b/>
          <w:bCs/>
          <w:color w:val="000000"/>
        </w:rPr>
        <w:t xml:space="preserve"> rehabilitacj</w:t>
      </w:r>
      <w:r>
        <w:rPr>
          <w:rFonts w:asciiTheme="minorHAnsi" w:hAnsiTheme="minorHAnsi" w:cstheme="minorHAnsi"/>
          <w:b/>
          <w:bCs/>
          <w:color w:val="000000"/>
        </w:rPr>
        <w:t>a</w:t>
      </w:r>
      <w:r w:rsidRPr="00156752">
        <w:rPr>
          <w:rFonts w:asciiTheme="minorHAnsi" w:hAnsiTheme="minorHAnsi" w:cstheme="minorHAnsi"/>
          <w:b/>
          <w:bCs/>
          <w:color w:val="000000"/>
        </w:rPr>
        <w:t xml:space="preserve"> ogólnoustrojow</w:t>
      </w:r>
      <w:r>
        <w:rPr>
          <w:rFonts w:asciiTheme="minorHAnsi" w:hAnsiTheme="minorHAnsi" w:cstheme="minorHAnsi"/>
          <w:b/>
          <w:bCs/>
          <w:color w:val="000000"/>
        </w:rPr>
        <w:t>a</w:t>
      </w:r>
      <w:r w:rsidRPr="00AE5FE3">
        <w:rPr>
          <w:rFonts w:asciiTheme="minorHAnsi" w:hAnsiTheme="minorHAnsi" w:cstheme="minorHAnsi"/>
          <w:color w:val="000000"/>
        </w:rPr>
        <w:t xml:space="preserve"> dedykowan</w:t>
      </w:r>
      <w:r>
        <w:rPr>
          <w:rFonts w:asciiTheme="minorHAnsi" w:hAnsiTheme="minorHAnsi" w:cstheme="minorHAnsi"/>
          <w:color w:val="000000"/>
        </w:rPr>
        <w:t>a</w:t>
      </w:r>
      <w:r w:rsidRPr="00AE5FE3">
        <w:rPr>
          <w:rFonts w:asciiTheme="minorHAnsi" w:hAnsiTheme="minorHAnsi" w:cstheme="minorHAnsi"/>
          <w:color w:val="000000"/>
        </w:rPr>
        <w:t xml:space="preserve"> chorobom układu kostno-mięśniowego rozumian</w:t>
      </w:r>
      <w:r>
        <w:rPr>
          <w:rFonts w:asciiTheme="minorHAnsi" w:hAnsiTheme="minorHAnsi" w:cstheme="minorHAnsi"/>
          <w:color w:val="000000"/>
        </w:rPr>
        <w:t>a jest</w:t>
      </w:r>
      <w:r w:rsidRPr="00AE5FE3">
        <w:rPr>
          <w:rFonts w:asciiTheme="minorHAnsi" w:hAnsiTheme="minorHAnsi" w:cstheme="minorHAnsi"/>
          <w:color w:val="000000"/>
        </w:rPr>
        <w:t xml:space="preserve"> jako udzielanie świadczeń zdrowotn</w:t>
      </w:r>
      <w:r>
        <w:rPr>
          <w:rFonts w:asciiTheme="minorHAnsi" w:hAnsiTheme="minorHAnsi" w:cstheme="minorHAnsi"/>
          <w:color w:val="000000"/>
        </w:rPr>
        <w:t>ych</w:t>
      </w:r>
      <w:r w:rsidRPr="00AE5FE3">
        <w:rPr>
          <w:rFonts w:asciiTheme="minorHAnsi" w:hAnsiTheme="minorHAnsi" w:cstheme="minorHAnsi"/>
          <w:color w:val="000000"/>
        </w:rPr>
        <w:t xml:space="preserve"> finansowanych ze środków publicznych w jak największej liczbie form </w:t>
      </w:r>
      <w:r>
        <w:rPr>
          <w:rFonts w:asciiTheme="minorHAnsi" w:hAnsiTheme="minorHAnsi" w:cstheme="minorHAnsi"/>
          <w:color w:val="000000"/>
        </w:rPr>
        <w:t xml:space="preserve">świadczenia </w:t>
      </w:r>
      <w:r w:rsidRPr="00AE5FE3">
        <w:rPr>
          <w:rFonts w:asciiTheme="minorHAnsi" w:hAnsiTheme="minorHAnsi" w:cstheme="minorHAnsi"/>
          <w:color w:val="000000"/>
        </w:rPr>
        <w:t>opieki rehabilitacyjnej</w:t>
      </w:r>
      <w:r>
        <w:rPr>
          <w:rFonts w:asciiTheme="minorHAnsi" w:hAnsiTheme="minorHAnsi" w:cstheme="minorHAnsi"/>
          <w:color w:val="000000"/>
        </w:rPr>
        <w:t xml:space="preserve"> (</w:t>
      </w:r>
      <w:r w:rsidRPr="00AE5FE3">
        <w:rPr>
          <w:rFonts w:asciiTheme="minorHAnsi" w:hAnsiTheme="minorHAnsi" w:cstheme="minorHAnsi"/>
          <w:color w:val="000000"/>
        </w:rPr>
        <w:t>stacjonarn</w:t>
      </w:r>
      <w:r>
        <w:rPr>
          <w:rFonts w:asciiTheme="minorHAnsi" w:hAnsiTheme="minorHAnsi" w:cstheme="minorHAnsi"/>
          <w:color w:val="000000"/>
        </w:rPr>
        <w:t>e</w:t>
      </w:r>
      <w:r w:rsidRPr="00AE5FE3">
        <w:rPr>
          <w:rFonts w:asciiTheme="minorHAnsi" w:hAnsiTheme="minorHAnsi" w:cstheme="minorHAnsi"/>
          <w:color w:val="000000"/>
        </w:rPr>
        <w:t>, ambulatoryjn</w:t>
      </w:r>
      <w:r>
        <w:rPr>
          <w:rFonts w:asciiTheme="minorHAnsi" w:hAnsiTheme="minorHAnsi" w:cstheme="minorHAnsi"/>
          <w:color w:val="000000"/>
        </w:rPr>
        <w:t>e</w:t>
      </w:r>
      <w:r w:rsidRPr="00AE5FE3">
        <w:rPr>
          <w:rFonts w:asciiTheme="minorHAnsi" w:hAnsiTheme="minorHAnsi" w:cstheme="minorHAnsi"/>
          <w:color w:val="000000"/>
        </w:rPr>
        <w:t>, ośrod</w:t>
      </w:r>
      <w:r>
        <w:rPr>
          <w:rFonts w:asciiTheme="minorHAnsi" w:hAnsiTheme="minorHAnsi" w:cstheme="minorHAnsi"/>
          <w:color w:val="000000"/>
        </w:rPr>
        <w:t>e</w:t>
      </w:r>
      <w:r w:rsidRPr="00AE5FE3">
        <w:rPr>
          <w:rFonts w:asciiTheme="minorHAnsi" w:hAnsiTheme="minorHAnsi" w:cstheme="minorHAnsi"/>
          <w:color w:val="000000"/>
        </w:rPr>
        <w:t>k lub oddział dzienn</w:t>
      </w:r>
      <w:r>
        <w:rPr>
          <w:rFonts w:asciiTheme="minorHAnsi" w:hAnsiTheme="minorHAnsi" w:cstheme="minorHAnsi"/>
          <w:color w:val="000000"/>
        </w:rPr>
        <w:t>y,</w:t>
      </w:r>
      <w:r w:rsidRPr="00AE5FE3">
        <w:rPr>
          <w:rFonts w:asciiTheme="minorHAnsi" w:hAnsiTheme="minorHAnsi" w:cstheme="minorHAnsi"/>
          <w:color w:val="000000"/>
        </w:rPr>
        <w:t xml:space="preserve"> warunk</w:t>
      </w:r>
      <w:r>
        <w:rPr>
          <w:rFonts w:asciiTheme="minorHAnsi" w:hAnsiTheme="minorHAnsi" w:cstheme="minorHAnsi"/>
          <w:color w:val="000000"/>
        </w:rPr>
        <w:t>i</w:t>
      </w:r>
      <w:r w:rsidRPr="00AE5FE3">
        <w:rPr>
          <w:rFonts w:asciiTheme="minorHAnsi" w:hAnsiTheme="minorHAnsi" w:cstheme="minorHAnsi"/>
          <w:color w:val="000000"/>
        </w:rPr>
        <w:t xml:space="preserve"> domow</w:t>
      </w:r>
      <w:r>
        <w:rPr>
          <w:rFonts w:asciiTheme="minorHAnsi" w:hAnsiTheme="minorHAnsi" w:cstheme="minorHAnsi"/>
          <w:color w:val="000000"/>
        </w:rPr>
        <w:t>e)</w:t>
      </w:r>
      <w:r w:rsidRPr="00AE5FE3">
        <w:rPr>
          <w:rFonts w:asciiTheme="minorHAnsi" w:hAnsiTheme="minorHAnsi" w:cstheme="minorHAnsi"/>
          <w:color w:val="000000"/>
        </w:rPr>
        <w:t>.</w:t>
      </w:r>
    </w:p>
  </w:footnote>
  <w:footnote w:id="38">
    <w:p w14:paraId="75EBA0D7" w14:textId="48623A9D" w:rsidR="006D4FC0" w:rsidRPr="00800A50" w:rsidRDefault="006D4FC0">
      <w:pPr>
        <w:pStyle w:val="Tekstprzypisudolnego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 w:rsidRPr="00800A50">
        <w:rPr>
          <w:rFonts w:cs="Calibri"/>
        </w:rPr>
        <w:t>Hospitalizacje związane z leczeniem zachowawczym lub operacyjnym choroby powodującej dysfunkcję narządu ruchu obejmują łącznie następujące kody JPG: ROO01. ROO02, ROZS01 oraz ROZS02.</w:t>
      </w:r>
    </w:p>
  </w:footnote>
  <w:footnote w:id="39">
    <w:p w14:paraId="2AA77058" w14:textId="525FBCFD" w:rsidR="006D4FC0" w:rsidRDefault="006D4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2BB0">
        <w:rPr>
          <w:rFonts w:cs="Calibri"/>
          <w:color w:val="000000"/>
          <w:szCs w:val="24"/>
          <w:lang w:eastAsia="pl-PL"/>
        </w:rPr>
        <w:t xml:space="preserve">Załącznik nr </w:t>
      </w:r>
      <w:r>
        <w:rPr>
          <w:rFonts w:cs="Calibri"/>
          <w:color w:val="000000"/>
          <w:szCs w:val="24"/>
          <w:lang w:eastAsia="pl-PL"/>
        </w:rPr>
        <w:t>6</w:t>
      </w:r>
      <w:r w:rsidRPr="00862BB0">
        <w:rPr>
          <w:rFonts w:cs="Calibri"/>
          <w:color w:val="000000"/>
          <w:szCs w:val="24"/>
          <w:lang w:eastAsia="pl-PL"/>
        </w:rPr>
        <w:t xml:space="preserve"> do Rozporządzenia Ministra Zdrowia z dnia 2</w:t>
      </w:r>
      <w:r>
        <w:rPr>
          <w:rFonts w:cs="Calibri"/>
          <w:color w:val="000000"/>
          <w:szCs w:val="24"/>
          <w:lang w:eastAsia="pl-PL"/>
        </w:rPr>
        <w:t>6</w:t>
      </w:r>
      <w:r w:rsidRPr="00862BB0">
        <w:rPr>
          <w:rFonts w:cs="Calibri"/>
          <w:color w:val="000000"/>
          <w:szCs w:val="24"/>
          <w:lang w:eastAsia="pl-PL"/>
        </w:rPr>
        <w:t xml:space="preserve"> czerwca 20</w:t>
      </w:r>
      <w:r>
        <w:rPr>
          <w:rFonts w:cs="Calibri"/>
          <w:color w:val="000000"/>
          <w:szCs w:val="24"/>
          <w:lang w:eastAsia="pl-PL"/>
        </w:rPr>
        <w:t>19</w:t>
      </w:r>
      <w:r w:rsidRPr="00862BB0">
        <w:rPr>
          <w:rFonts w:cs="Calibri"/>
          <w:color w:val="000000"/>
          <w:szCs w:val="24"/>
          <w:lang w:eastAsia="pl-PL"/>
        </w:rPr>
        <w:t xml:space="preserve">r. w sprawie zakresu niezbędnych informacji </w:t>
      </w:r>
      <w:r>
        <w:rPr>
          <w:rFonts w:cs="Calibri"/>
          <w:color w:val="000000"/>
          <w:szCs w:val="24"/>
          <w:lang w:eastAsia="pl-PL"/>
        </w:rPr>
        <w:t>przetwarzanych</w:t>
      </w:r>
      <w:r w:rsidRPr="00862BB0">
        <w:rPr>
          <w:rFonts w:cs="Calibri"/>
          <w:color w:val="000000"/>
          <w:szCs w:val="24"/>
          <w:lang w:eastAsia="pl-PL"/>
        </w:rPr>
        <w:t xml:space="preserve"> przez świadczeniodawców, szczegółowego sposobu rejestrowania tych informacji oraz ich przekazywania podmiotom zobowiązanym do finansowania świadczeń ze środków publicznych</w:t>
      </w:r>
    </w:p>
  </w:footnote>
  <w:footnote w:id="40">
    <w:p w14:paraId="2B0123D8" w14:textId="77777777" w:rsidR="006D4FC0" w:rsidRPr="004A0195" w:rsidRDefault="006D4FC0" w:rsidP="004A0195">
      <w:pPr>
        <w:pStyle w:val="Tekstprzypisudolnego"/>
        <w:jc w:val="both"/>
        <w:rPr>
          <w:rFonts w:cs="Calibri"/>
        </w:rPr>
      </w:pPr>
      <w:r w:rsidRPr="0065586C">
        <w:rPr>
          <w:rStyle w:val="Odwoanieprzypisudolnego"/>
          <w:rFonts w:ascii="Cambria" w:hAnsi="Cambria"/>
          <w:b/>
        </w:rPr>
        <w:footnoteRef/>
      </w:r>
      <w:r w:rsidRPr="00777802">
        <w:rPr>
          <w:rFonts w:ascii="Cambria" w:hAnsi="Cambria"/>
        </w:rPr>
        <w:t xml:space="preserve"> </w:t>
      </w:r>
      <w:r w:rsidRPr="004A0195">
        <w:rPr>
          <w:rFonts w:cs="Calibri"/>
          <w:b/>
        </w:rPr>
        <w:t>wskaźnik „przelotowości”</w:t>
      </w:r>
      <w:r w:rsidRPr="004A0195">
        <w:rPr>
          <w:rFonts w:cs="Calibri"/>
        </w:rPr>
        <w:t xml:space="preserve"> tj. liczby osób leczonych w ciągu roku na 1 łóżku stanowi iloraz liczby osób leczonych w ciągu roku w danym oddziale do średniej liczby łóżek rzeczywistych w tym oddziale</w:t>
      </w:r>
    </w:p>
  </w:footnote>
  <w:footnote w:id="41">
    <w:p w14:paraId="675CE1EB" w14:textId="46216838" w:rsidR="006D4FC0" w:rsidRDefault="006D4FC0">
      <w:pPr>
        <w:pStyle w:val="Tekstprzypisudolnego"/>
      </w:pPr>
      <w:r>
        <w:rPr>
          <w:rStyle w:val="Odwoanieprzypisudolnego"/>
        </w:rPr>
        <w:footnoteRef/>
      </w:r>
      <w:r>
        <w:t xml:space="preserve"> I</w:t>
      </w:r>
      <w:r w:rsidRPr="003F2EF8">
        <w:rPr>
          <w:rFonts w:cs="Calibri"/>
          <w:b/>
          <w:bCs/>
          <w:color w:val="000000"/>
          <w:szCs w:val="24"/>
          <w:lang w:eastAsia="pl-PL"/>
        </w:rPr>
        <w:t xml:space="preserve">nnowacyjność </w:t>
      </w:r>
      <w:r w:rsidRPr="002F3866">
        <w:rPr>
          <w:rFonts w:cs="Calibri"/>
          <w:color w:val="000000"/>
          <w:szCs w:val="24"/>
          <w:lang w:eastAsia="pl-PL"/>
        </w:rPr>
        <w:t>to</w:t>
      </w:r>
      <w:r w:rsidRPr="003F2EF8">
        <w:rPr>
          <w:rFonts w:cs="Calibri"/>
          <w:b/>
          <w:bCs/>
          <w:color w:val="000000"/>
          <w:szCs w:val="24"/>
          <w:lang w:eastAsia="pl-PL"/>
        </w:rPr>
        <w:t xml:space="preserve"> </w:t>
      </w:r>
      <w:r w:rsidRPr="003F2EF8">
        <w:rPr>
          <w:rFonts w:cs="Calibri"/>
          <w:color w:val="000000"/>
          <w:szCs w:val="24"/>
          <w:lang w:eastAsia="pl-PL"/>
        </w:rPr>
        <w:t>wdrożenie nowego lub istotnie ulepszonego produktu (wyrobu lub usługi) lub procesu, nowej metody organizacyjnej lub nowej metody marketingowej w praktyce gospodarczej, organizacji miejsca pracy lub stosunkach z otoczeniem. Produkty, procesy oraz metody organizacyjne i</w:t>
      </w:r>
      <w:r>
        <w:rPr>
          <w:rFonts w:cs="Calibri"/>
          <w:color w:val="000000"/>
          <w:szCs w:val="24"/>
          <w:lang w:eastAsia="pl-PL"/>
        </w:rPr>
        <w:t> </w:t>
      </w:r>
      <w:r w:rsidRPr="003F2EF8">
        <w:rPr>
          <w:rFonts w:cs="Calibri"/>
          <w:color w:val="000000"/>
          <w:szCs w:val="24"/>
          <w:lang w:eastAsia="pl-PL"/>
        </w:rPr>
        <w:t>marketingowe nie muszą być nowością dla rynku, na którym operuje przedsiębiorstwo, ale muszą być nowością przynajmniej dla samego przedsiębiorstwa. Produkty, procesy</w:t>
      </w:r>
      <w:r>
        <w:rPr>
          <w:rFonts w:cs="Calibri"/>
          <w:color w:val="000000"/>
          <w:szCs w:val="24"/>
          <w:lang w:eastAsia="pl-PL"/>
        </w:rPr>
        <w:t xml:space="preserve"> </w:t>
      </w:r>
      <w:r w:rsidRPr="003F2EF8">
        <w:rPr>
          <w:rFonts w:cs="Calibri"/>
          <w:color w:val="000000"/>
          <w:szCs w:val="24"/>
          <w:lang w:eastAsia="pl-PL"/>
        </w:rPr>
        <w:t>i metody nie muszą być opracowane przez samo przedsiębiorstwo, mogą być opracowane przez inne przedsiębiorstwo bądź przez jednostkę o innym charakterze (np. instytut naukowo-</w:t>
      </w:r>
      <w:r>
        <w:rPr>
          <w:rFonts w:cs="Calibri"/>
          <w:color w:val="000000"/>
          <w:szCs w:val="24"/>
          <w:lang w:eastAsia="pl-PL"/>
        </w:rPr>
        <w:t xml:space="preserve"> </w:t>
      </w:r>
      <w:r w:rsidRPr="009669CE">
        <w:rPr>
          <w:rFonts w:cs="Calibri"/>
          <w:color w:val="000000"/>
          <w:szCs w:val="24"/>
          <w:lang w:eastAsia="pl-PL"/>
        </w:rPr>
        <w:t>badawczy, ośrodek badawczo-rozwojowy, szkołę wyższą, itp.).</w:t>
      </w:r>
    </w:p>
  </w:footnote>
  <w:footnote w:id="42">
    <w:p w14:paraId="6C71BAFE" w14:textId="77777777" w:rsidR="006D4FC0" w:rsidRDefault="006D4FC0" w:rsidP="004A3C21">
      <w:pPr>
        <w:pStyle w:val="Tekstprzypisudolnego"/>
        <w:jc w:val="both"/>
      </w:pPr>
      <w:r w:rsidRPr="002851B0">
        <w:rPr>
          <w:rStyle w:val="Odwoanieprzypisudolnego"/>
        </w:rPr>
        <w:footnoteRef/>
      </w:r>
      <w:r w:rsidRPr="002851B0">
        <w:t xml:space="preserve"> Zastosowano słownictwo najbliższe angielskojęzycznej wersji rozporządzenia 2015/207, w którym bez komentarza i rozwinięcia użyto słowa „</w:t>
      </w:r>
      <w:proofErr w:type="spellStart"/>
      <w:r w:rsidRPr="002851B0">
        <w:t>drainage</w:t>
      </w:r>
      <w:proofErr w:type="spellEnd"/>
      <w:r w:rsidRPr="002851B0">
        <w:t xml:space="preserve">”. W niniejszej instrukcji przyjęto interpretację, że skrót ten oznacza skutki złego drenażu wód opadowych, który nie zapobiega podtopieniom i </w:t>
      </w:r>
      <w:proofErr w:type="spellStart"/>
      <w:r w:rsidRPr="002851B0">
        <w:t>zalaniom</w:t>
      </w:r>
      <w:proofErr w:type="spellEnd"/>
      <w:r w:rsidRPr="002851B0">
        <w:t xml:space="preserve"> oraz skażeniu środowiska.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A1"/>
    <w:multiLevelType w:val="hybridMultilevel"/>
    <w:tmpl w:val="228A52B2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5EF1"/>
    <w:multiLevelType w:val="hybridMultilevel"/>
    <w:tmpl w:val="2D66F1C0"/>
    <w:lvl w:ilvl="0" w:tplc="2654ED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D63BD7"/>
    <w:multiLevelType w:val="hybridMultilevel"/>
    <w:tmpl w:val="2CECA13A"/>
    <w:lvl w:ilvl="0" w:tplc="110C72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06BD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7457A"/>
    <w:multiLevelType w:val="hybridMultilevel"/>
    <w:tmpl w:val="1D4EA72E"/>
    <w:lvl w:ilvl="0" w:tplc="2654E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45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0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C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A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0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E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5F257B4"/>
    <w:multiLevelType w:val="hybridMultilevel"/>
    <w:tmpl w:val="9BA6CAB4"/>
    <w:lvl w:ilvl="0" w:tplc="0A28E08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27A44"/>
    <w:multiLevelType w:val="hybridMultilevel"/>
    <w:tmpl w:val="5BF8D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13A9"/>
    <w:multiLevelType w:val="hybridMultilevel"/>
    <w:tmpl w:val="C190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36CF1"/>
    <w:multiLevelType w:val="multilevel"/>
    <w:tmpl w:val="57A48CE4"/>
    <w:lvl w:ilvl="0">
      <w:start w:val="1"/>
      <w:numFmt w:val="lowerLetter"/>
      <w:lvlText w:val="%1)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0C2F24"/>
    <w:multiLevelType w:val="hybridMultilevel"/>
    <w:tmpl w:val="4FAE5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A5D5E"/>
    <w:multiLevelType w:val="hybridMultilevel"/>
    <w:tmpl w:val="5958ED66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4D1F"/>
    <w:multiLevelType w:val="hybridMultilevel"/>
    <w:tmpl w:val="BA6E93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92472"/>
    <w:multiLevelType w:val="hybridMultilevel"/>
    <w:tmpl w:val="C9DA585E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A79B7"/>
    <w:multiLevelType w:val="hybridMultilevel"/>
    <w:tmpl w:val="66F08E4A"/>
    <w:lvl w:ilvl="0" w:tplc="2654EDB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DA20C9"/>
    <w:multiLevelType w:val="hybridMultilevel"/>
    <w:tmpl w:val="D06E87C4"/>
    <w:lvl w:ilvl="0" w:tplc="93A25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0220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C5023"/>
    <w:multiLevelType w:val="hybridMultilevel"/>
    <w:tmpl w:val="488218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2D74C4"/>
    <w:multiLevelType w:val="hybridMultilevel"/>
    <w:tmpl w:val="950E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A3469"/>
    <w:multiLevelType w:val="hybridMultilevel"/>
    <w:tmpl w:val="E146E61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D4733"/>
    <w:multiLevelType w:val="hybridMultilevel"/>
    <w:tmpl w:val="ECE0F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F51A5"/>
    <w:multiLevelType w:val="hybridMultilevel"/>
    <w:tmpl w:val="18EA4B66"/>
    <w:lvl w:ilvl="0" w:tplc="08089A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6C8B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83A2B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4746D"/>
    <w:multiLevelType w:val="hybridMultilevel"/>
    <w:tmpl w:val="F1445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A676F"/>
    <w:multiLevelType w:val="hybridMultilevel"/>
    <w:tmpl w:val="D414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73F7B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6727D"/>
    <w:multiLevelType w:val="hybridMultilevel"/>
    <w:tmpl w:val="D04A2A2E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E129D6"/>
    <w:multiLevelType w:val="hybridMultilevel"/>
    <w:tmpl w:val="FBA0C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82E3A"/>
    <w:multiLevelType w:val="hybridMultilevel"/>
    <w:tmpl w:val="18E46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D387C"/>
    <w:multiLevelType w:val="hybridMultilevel"/>
    <w:tmpl w:val="47B8E07E"/>
    <w:lvl w:ilvl="0" w:tplc="2654ED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6040645"/>
    <w:multiLevelType w:val="hybridMultilevel"/>
    <w:tmpl w:val="63263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923365"/>
    <w:multiLevelType w:val="hybridMultilevel"/>
    <w:tmpl w:val="B7CC8BF6"/>
    <w:lvl w:ilvl="0" w:tplc="F1E0A520">
      <w:start w:val="1"/>
      <w:numFmt w:val="lowerLetter"/>
      <w:lvlText w:val="%1)"/>
      <w:lvlJc w:val="righ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C2206A"/>
    <w:multiLevelType w:val="hybridMultilevel"/>
    <w:tmpl w:val="7C3ECB3E"/>
    <w:lvl w:ilvl="0" w:tplc="BD144C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437099"/>
    <w:multiLevelType w:val="hybridMultilevel"/>
    <w:tmpl w:val="B80E8FA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517114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F45549"/>
    <w:multiLevelType w:val="hybridMultilevel"/>
    <w:tmpl w:val="FA623A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BE6C9E"/>
    <w:multiLevelType w:val="hybridMultilevel"/>
    <w:tmpl w:val="E990D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852EE4"/>
    <w:multiLevelType w:val="hybridMultilevel"/>
    <w:tmpl w:val="4EB6FA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2D5476"/>
    <w:multiLevelType w:val="hybridMultilevel"/>
    <w:tmpl w:val="BF189352"/>
    <w:lvl w:ilvl="0" w:tplc="A682736E">
      <w:start w:val="1"/>
      <w:numFmt w:val="lowerLetter"/>
      <w:lvlText w:val="%1)"/>
      <w:lvlJc w:val="righ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4B6364FE"/>
    <w:multiLevelType w:val="hybridMultilevel"/>
    <w:tmpl w:val="E990D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65166E"/>
    <w:multiLevelType w:val="hybridMultilevel"/>
    <w:tmpl w:val="7C3ECB3E"/>
    <w:lvl w:ilvl="0" w:tplc="BD144C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E300C4"/>
    <w:multiLevelType w:val="hybridMultilevel"/>
    <w:tmpl w:val="8F0E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661F74"/>
    <w:multiLevelType w:val="hybridMultilevel"/>
    <w:tmpl w:val="2C90E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92476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5E3976"/>
    <w:multiLevelType w:val="hybridMultilevel"/>
    <w:tmpl w:val="AFB41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2F1DE5"/>
    <w:multiLevelType w:val="multilevel"/>
    <w:tmpl w:val="AC8625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4"/>
        <w:szCs w:val="28"/>
      </w:rPr>
    </w:lvl>
    <w:lvl w:ilvl="2">
      <w:start w:val="1"/>
      <w:numFmt w:val="decimal"/>
      <w:pStyle w:val="Akapitzlist"/>
      <w:lvlText w:val="%1.%2.%3."/>
      <w:lvlJc w:val="left"/>
      <w:pPr>
        <w:ind w:left="720" w:hanging="720"/>
      </w:pPr>
      <w:rPr>
        <w:rFonts w:ascii="Calibri" w:hAnsi="Calibri" w:cs="Calibri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9CB7916"/>
    <w:multiLevelType w:val="hybridMultilevel"/>
    <w:tmpl w:val="3E78ED8A"/>
    <w:lvl w:ilvl="0" w:tplc="E5A48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4676BF"/>
    <w:multiLevelType w:val="hybridMultilevel"/>
    <w:tmpl w:val="154C6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336304"/>
    <w:multiLevelType w:val="hybridMultilevel"/>
    <w:tmpl w:val="A5B837E2"/>
    <w:lvl w:ilvl="0" w:tplc="F51E22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C3317"/>
    <w:multiLevelType w:val="hybridMultilevel"/>
    <w:tmpl w:val="79481A6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874385"/>
    <w:multiLevelType w:val="hybridMultilevel"/>
    <w:tmpl w:val="00BEB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D313F3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4B2353"/>
    <w:multiLevelType w:val="hybridMultilevel"/>
    <w:tmpl w:val="026A0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176B2"/>
    <w:multiLevelType w:val="hybridMultilevel"/>
    <w:tmpl w:val="890E4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551942"/>
    <w:multiLevelType w:val="hybridMultilevel"/>
    <w:tmpl w:val="3DD689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83B3B3B"/>
    <w:multiLevelType w:val="hybridMultilevel"/>
    <w:tmpl w:val="26502B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84D7A88"/>
    <w:multiLevelType w:val="hybridMultilevel"/>
    <w:tmpl w:val="1F1C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5"/>
  </w:num>
  <w:num w:numId="3">
    <w:abstractNumId w:val="42"/>
  </w:num>
  <w:num w:numId="4">
    <w:abstractNumId w:val="9"/>
  </w:num>
  <w:num w:numId="5">
    <w:abstractNumId w:val="36"/>
  </w:num>
  <w:num w:numId="6">
    <w:abstractNumId w:val="40"/>
  </w:num>
  <w:num w:numId="7">
    <w:abstractNumId w:val="32"/>
  </w:num>
  <w:num w:numId="8">
    <w:abstractNumId w:val="39"/>
  </w:num>
  <w:num w:numId="9">
    <w:abstractNumId w:val="20"/>
  </w:num>
  <w:num w:numId="10">
    <w:abstractNumId w:val="22"/>
  </w:num>
  <w:num w:numId="11">
    <w:abstractNumId w:val="28"/>
  </w:num>
  <w:num w:numId="12">
    <w:abstractNumId w:val="51"/>
  </w:num>
  <w:num w:numId="13">
    <w:abstractNumId w:val="34"/>
  </w:num>
  <w:num w:numId="14">
    <w:abstractNumId w:val="43"/>
  </w:num>
  <w:num w:numId="15">
    <w:abstractNumId w:val="24"/>
  </w:num>
  <w:num w:numId="16">
    <w:abstractNumId w:val="3"/>
  </w:num>
  <w:num w:numId="17">
    <w:abstractNumId w:val="19"/>
  </w:num>
  <w:num w:numId="18">
    <w:abstractNumId w:val="38"/>
  </w:num>
  <w:num w:numId="19">
    <w:abstractNumId w:val="5"/>
  </w:num>
  <w:num w:numId="20">
    <w:abstractNumId w:val="31"/>
  </w:num>
  <w:num w:numId="21">
    <w:abstractNumId w:val="52"/>
  </w:num>
  <w:num w:numId="22">
    <w:abstractNumId w:val="23"/>
  </w:num>
  <w:num w:numId="23">
    <w:abstractNumId w:val="16"/>
  </w:num>
  <w:num w:numId="24">
    <w:abstractNumId w:val="47"/>
  </w:num>
  <w:num w:numId="25">
    <w:abstractNumId w:val="6"/>
  </w:num>
  <w:num w:numId="26">
    <w:abstractNumId w:val="41"/>
  </w:num>
  <w:num w:numId="27">
    <w:abstractNumId w:val="53"/>
  </w:num>
  <w:num w:numId="28">
    <w:abstractNumId w:val="0"/>
  </w:num>
  <w:num w:numId="29">
    <w:abstractNumId w:val="44"/>
  </w:num>
  <w:num w:numId="30">
    <w:abstractNumId w:val="12"/>
  </w:num>
  <w:num w:numId="31">
    <w:abstractNumId w:val="26"/>
  </w:num>
  <w:num w:numId="32">
    <w:abstractNumId w:val="49"/>
  </w:num>
  <w:num w:numId="33">
    <w:abstractNumId w:val="33"/>
  </w:num>
  <w:num w:numId="34">
    <w:abstractNumId w:val="30"/>
  </w:num>
  <w:num w:numId="35">
    <w:abstractNumId w:val="17"/>
  </w:num>
  <w:num w:numId="36">
    <w:abstractNumId w:val="27"/>
  </w:num>
  <w:num w:numId="37">
    <w:abstractNumId w:val="50"/>
  </w:num>
  <w:num w:numId="38">
    <w:abstractNumId w:val="21"/>
  </w:num>
  <w:num w:numId="39">
    <w:abstractNumId w:val="18"/>
  </w:num>
  <w:num w:numId="40">
    <w:abstractNumId w:val="1"/>
  </w:num>
  <w:num w:numId="41">
    <w:abstractNumId w:val="29"/>
  </w:num>
  <w:num w:numId="42">
    <w:abstractNumId w:val="14"/>
  </w:num>
  <w:num w:numId="43">
    <w:abstractNumId w:val="56"/>
  </w:num>
  <w:num w:numId="44">
    <w:abstractNumId w:val="10"/>
  </w:num>
  <w:num w:numId="45">
    <w:abstractNumId w:val="4"/>
  </w:num>
  <w:num w:numId="46">
    <w:abstractNumId w:val="48"/>
  </w:num>
  <w:num w:numId="47">
    <w:abstractNumId w:val="2"/>
  </w:num>
  <w:num w:numId="48">
    <w:abstractNumId w:val="8"/>
  </w:num>
  <w:num w:numId="49">
    <w:abstractNumId w:val="25"/>
  </w:num>
  <w:num w:numId="50">
    <w:abstractNumId w:val="54"/>
  </w:num>
  <w:num w:numId="51">
    <w:abstractNumId w:val="13"/>
  </w:num>
  <w:num w:numId="52">
    <w:abstractNumId w:val="15"/>
  </w:num>
  <w:num w:numId="53">
    <w:abstractNumId w:val="55"/>
  </w:num>
  <w:num w:numId="54">
    <w:abstractNumId w:val="37"/>
  </w:num>
  <w:num w:numId="55">
    <w:abstractNumId w:val="35"/>
  </w:num>
  <w:num w:numId="56">
    <w:abstractNumId w:val="11"/>
  </w:num>
  <w:num w:numId="57">
    <w:abstractNumId w:val="4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czudłowska, Małgorzata">
    <w15:presenceInfo w15:providerId="AD" w15:userId="S-1-5-21-215249604-2136417950-460311963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6F"/>
    <w:rsid w:val="000010D7"/>
    <w:rsid w:val="0000149B"/>
    <w:rsid w:val="00002104"/>
    <w:rsid w:val="00002301"/>
    <w:rsid w:val="000029BB"/>
    <w:rsid w:val="000072A9"/>
    <w:rsid w:val="0001159E"/>
    <w:rsid w:val="00011944"/>
    <w:rsid w:val="0001227B"/>
    <w:rsid w:val="0001274D"/>
    <w:rsid w:val="0001445F"/>
    <w:rsid w:val="00015A1F"/>
    <w:rsid w:val="00016014"/>
    <w:rsid w:val="000168EE"/>
    <w:rsid w:val="0002044C"/>
    <w:rsid w:val="0002054B"/>
    <w:rsid w:val="00024078"/>
    <w:rsid w:val="00025059"/>
    <w:rsid w:val="000251C6"/>
    <w:rsid w:val="0002522E"/>
    <w:rsid w:val="000262E9"/>
    <w:rsid w:val="0002669A"/>
    <w:rsid w:val="00027246"/>
    <w:rsid w:val="00030291"/>
    <w:rsid w:val="00031CE8"/>
    <w:rsid w:val="000342DB"/>
    <w:rsid w:val="00035653"/>
    <w:rsid w:val="00040F69"/>
    <w:rsid w:val="00041B20"/>
    <w:rsid w:val="00041F80"/>
    <w:rsid w:val="00043312"/>
    <w:rsid w:val="00045DB7"/>
    <w:rsid w:val="00046D4E"/>
    <w:rsid w:val="000471AE"/>
    <w:rsid w:val="000471FE"/>
    <w:rsid w:val="00050F15"/>
    <w:rsid w:val="00052A1E"/>
    <w:rsid w:val="00052AB0"/>
    <w:rsid w:val="0005321B"/>
    <w:rsid w:val="00055119"/>
    <w:rsid w:val="00061612"/>
    <w:rsid w:val="00061A36"/>
    <w:rsid w:val="0006218A"/>
    <w:rsid w:val="000635B2"/>
    <w:rsid w:val="00065ED9"/>
    <w:rsid w:val="00067165"/>
    <w:rsid w:val="0007481C"/>
    <w:rsid w:val="00074C9F"/>
    <w:rsid w:val="000753A9"/>
    <w:rsid w:val="000802E2"/>
    <w:rsid w:val="00082099"/>
    <w:rsid w:val="0008254A"/>
    <w:rsid w:val="00084053"/>
    <w:rsid w:val="00084475"/>
    <w:rsid w:val="000855C6"/>
    <w:rsid w:val="00086A4C"/>
    <w:rsid w:val="00087A8E"/>
    <w:rsid w:val="00087EBE"/>
    <w:rsid w:val="000908D2"/>
    <w:rsid w:val="000913F7"/>
    <w:rsid w:val="00094260"/>
    <w:rsid w:val="00096BE1"/>
    <w:rsid w:val="000971C6"/>
    <w:rsid w:val="0009746E"/>
    <w:rsid w:val="00097735"/>
    <w:rsid w:val="000A06B0"/>
    <w:rsid w:val="000A138E"/>
    <w:rsid w:val="000A19CD"/>
    <w:rsid w:val="000A1CF7"/>
    <w:rsid w:val="000A1DDF"/>
    <w:rsid w:val="000A20D8"/>
    <w:rsid w:val="000A2474"/>
    <w:rsid w:val="000A2BBE"/>
    <w:rsid w:val="000A53AF"/>
    <w:rsid w:val="000A667A"/>
    <w:rsid w:val="000A7C5C"/>
    <w:rsid w:val="000B010C"/>
    <w:rsid w:val="000B1483"/>
    <w:rsid w:val="000B4179"/>
    <w:rsid w:val="000B4C7F"/>
    <w:rsid w:val="000B7359"/>
    <w:rsid w:val="000C105F"/>
    <w:rsid w:val="000C2B2F"/>
    <w:rsid w:val="000C47D4"/>
    <w:rsid w:val="000C63E9"/>
    <w:rsid w:val="000C67B0"/>
    <w:rsid w:val="000D1E18"/>
    <w:rsid w:val="000D221D"/>
    <w:rsid w:val="000D28C1"/>
    <w:rsid w:val="000D2B65"/>
    <w:rsid w:val="000D333A"/>
    <w:rsid w:val="000D3E34"/>
    <w:rsid w:val="000D4132"/>
    <w:rsid w:val="000D5F65"/>
    <w:rsid w:val="000D677F"/>
    <w:rsid w:val="000E0BAD"/>
    <w:rsid w:val="000E2F4E"/>
    <w:rsid w:val="000E303D"/>
    <w:rsid w:val="000E4F1B"/>
    <w:rsid w:val="000E511F"/>
    <w:rsid w:val="000E6CDD"/>
    <w:rsid w:val="000F2089"/>
    <w:rsid w:val="000F2341"/>
    <w:rsid w:val="000F6A3D"/>
    <w:rsid w:val="000F792E"/>
    <w:rsid w:val="00100A23"/>
    <w:rsid w:val="00101445"/>
    <w:rsid w:val="00103407"/>
    <w:rsid w:val="00104B72"/>
    <w:rsid w:val="00107BE9"/>
    <w:rsid w:val="00110EF2"/>
    <w:rsid w:val="001113DA"/>
    <w:rsid w:val="0011182D"/>
    <w:rsid w:val="0011345D"/>
    <w:rsid w:val="0011368F"/>
    <w:rsid w:val="001136CB"/>
    <w:rsid w:val="0011370D"/>
    <w:rsid w:val="00113E17"/>
    <w:rsid w:val="00113F9E"/>
    <w:rsid w:val="00114EAB"/>
    <w:rsid w:val="00120832"/>
    <w:rsid w:val="00121682"/>
    <w:rsid w:val="00122A33"/>
    <w:rsid w:val="00125FFF"/>
    <w:rsid w:val="00126A33"/>
    <w:rsid w:val="00130266"/>
    <w:rsid w:val="00131FB1"/>
    <w:rsid w:val="001321E6"/>
    <w:rsid w:val="00132C04"/>
    <w:rsid w:val="001332E3"/>
    <w:rsid w:val="00133321"/>
    <w:rsid w:val="00136152"/>
    <w:rsid w:val="00142276"/>
    <w:rsid w:val="001434BE"/>
    <w:rsid w:val="00144141"/>
    <w:rsid w:val="0014521B"/>
    <w:rsid w:val="00147AE4"/>
    <w:rsid w:val="00147BB0"/>
    <w:rsid w:val="00147C54"/>
    <w:rsid w:val="001530B7"/>
    <w:rsid w:val="0015507B"/>
    <w:rsid w:val="00156752"/>
    <w:rsid w:val="001576AD"/>
    <w:rsid w:val="00157A2A"/>
    <w:rsid w:val="001608A3"/>
    <w:rsid w:val="00161F89"/>
    <w:rsid w:val="00163557"/>
    <w:rsid w:val="00164610"/>
    <w:rsid w:val="0016751D"/>
    <w:rsid w:val="001675AF"/>
    <w:rsid w:val="00167613"/>
    <w:rsid w:val="00167ED2"/>
    <w:rsid w:val="00170C59"/>
    <w:rsid w:val="001717CD"/>
    <w:rsid w:val="00174786"/>
    <w:rsid w:val="00175133"/>
    <w:rsid w:val="001769C3"/>
    <w:rsid w:val="00177188"/>
    <w:rsid w:val="00177CC2"/>
    <w:rsid w:val="00182A4B"/>
    <w:rsid w:val="001830E7"/>
    <w:rsid w:val="001868A5"/>
    <w:rsid w:val="00186C6D"/>
    <w:rsid w:val="00187434"/>
    <w:rsid w:val="00187FFB"/>
    <w:rsid w:val="0019169C"/>
    <w:rsid w:val="0019223A"/>
    <w:rsid w:val="00195D78"/>
    <w:rsid w:val="001A2A9B"/>
    <w:rsid w:val="001A2BD9"/>
    <w:rsid w:val="001A3535"/>
    <w:rsid w:val="001A40FC"/>
    <w:rsid w:val="001A56DC"/>
    <w:rsid w:val="001A653F"/>
    <w:rsid w:val="001A6862"/>
    <w:rsid w:val="001B037C"/>
    <w:rsid w:val="001B05B4"/>
    <w:rsid w:val="001B0BF1"/>
    <w:rsid w:val="001B1DB0"/>
    <w:rsid w:val="001B37A5"/>
    <w:rsid w:val="001B43A0"/>
    <w:rsid w:val="001B445B"/>
    <w:rsid w:val="001B49F8"/>
    <w:rsid w:val="001B6127"/>
    <w:rsid w:val="001B7FBC"/>
    <w:rsid w:val="001C09AE"/>
    <w:rsid w:val="001C3F75"/>
    <w:rsid w:val="001C41FC"/>
    <w:rsid w:val="001C5985"/>
    <w:rsid w:val="001D15C4"/>
    <w:rsid w:val="001D258B"/>
    <w:rsid w:val="001D5587"/>
    <w:rsid w:val="001D60DD"/>
    <w:rsid w:val="001E030B"/>
    <w:rsid w:val="001E03B3"/>
    <w:rsid w:val="001E1E49"/>
    <w:rsid w:val="001E5F68"/>
    <w:rsid w:val="001F0554"/>
    <w:rsid w:val="001F5843"/>
    <w:rsid w:val="001F5CCB"/>
    <w:rsid w:val="001F5E1C"/>
    <w:rsid w:val="001F6215"/>
    <w:rsid w:val="001F69F1"/>
    <w:rsid w:val="001F78CF"/>
    <w:rsid w:val="001F7EE5"/>
    <w:rsid w:val="00202DE7"/>
    <w:rsid w:val="002050AE"/>
    <w:rsid w:val="002055B7"/>
    <w:rsid w:val="00206135"/>
    <w:rsid w:val="002066EC"/>
    <w:rsid w:val="00206A82"/>
    <w:rsid w:val="00211BFC"/>
    <w:rsid w:val="00214EB2"/>
    <w:rsid w:val="00215D8E"/>
    <w:rsid w:val="00224B0F"/>
    <w:rsid w:val="00225387"/>
    <w:rsid w:val="00225CD5"/>
    <w:rsid w:val="0022632B"/>
    <w:rsid w:val="0022634E"/>
    <w:rsid w:val="00226957"/>
    <w:rsid w:val="00227A12"/>
    <w:rsid w:val="00232DCB"/>
    <w:rsid w:val="00233959"/>
    <w:rsid w:val="00234827"/>
    <w:rsid w:val="00234A67"/>
    <w:rsid w:val="00235057"/>
    <w:rsid w:val="00235267"/>
    <w:rsid w:val="00240A5F"/>
    <w:rsid w:val="00240E8E"/>
    <w:rsid w:val="002411BE"/>
    <w:rsid w:val="0024270F"/>
    <w:rsid w:val="00242A7F"/>
    <w:rsid w:val="00244531"/>
    <w:rsid w:val="0024604C"/>
    <w:rsid w:val="002469D6"/>
    <w:rsid w:val="00246A38"/>
    <w:rsid w:val="00246C10"/>
    <w:rsid w:val="00246F1C"/>
    <w:rsid w:val="002502A7"/>
    <w:rsid w:val="002503DC"/>
    <w:rsid w:val="002517D7"/>
    <w:rsid w:val="00252A66"/>
    <w:rsid w:val="00253611"/>
    <w:rsid w:val="002540C9"/>
    <w:rsid w:val="00255763"/>
    <w:rsid w:val="00257399"/>
    <w:rsid w:val="0026206E"/>
    <w:rsid w:val="002621D8"/>
    <w:rsid w:val="00263168"/>
    <w:rsid w:val="00263DBE"/>
    <w:rsid w:val="00264D87"/>
    <w:rsid w:val="00265A33"/>
    <w:rsid w:val="00265C4B"/>
    <w:rsid w:val="0027223D"/>
    <w:rsid w:val="002751BE"/>
    <w:rsid w:val="00275785"/>
    <w:rsid w:val="00277C76"/>
    <w:rsid w:val="00277FDA"/>
    <w:rsid w:val="00280871"/>
    <w:rsid w:val="00281277"/>
    <w:rsid w:val="0028357C"/>
    <w:rsid w:val="00283FF6"/>
    <w:rsid w:val="002851B0"/>
    <w:rsid w:val="002853EE"/>
    <w:rsid w:val="0028641E"/>
    <w:rsid w:val="00290CC4"/>
    <w:rsid w:val="00291047"/>
    <w:rsid w:val="0029545B"/>
    <w:rsid w:val="00296641"/>
    <w:rsid w:val="00296DC1"/>
    <w:rsid w:val="002A00BE"/>
    <w:rsid w:val="002A2F93"/>
    <w:rsid w:val="002A5A98"/>
    <w:rsid w:val="002B0F62"/>
    <w:rsid w:val="002B1795"/>
    <w:rsid w:val="002B1EC4"/>
    <w:rsid w:val="002B41F5"/>
    <w:rsid w:val="002B4947"/>
    <w:rsid w:val="002B4F35"/>
    <w:rsid w:val="002B64EC"/>
    <w:rsid w:val="002B73A1"/>
    <w:rsid w:val="002C050D"/>
    <w:rsid w:val="002C1B70"/>
    <w:rsid w:val="002C2173"/>
    <w:rsid w:val="002C4BBF"/>
    <w:rsid w:val="002C64A0"/>
    <w:rsid w:val="002D0FC6"/>
    <w:rsid w:val="002D100C"/>
    <w:rsid w:val="002D38F2"/>
    <w:rsid w:val="002D3BC2"/>
    <w:rsid w:val="002D66F8"/>
    <w:rsid w:val="002E1051"/>
    <w:rsid w:val="002E1286"/>
    <w:rsid w:val="002E1EA2"/>
    <w:rsid w:val="002E51FF"/>
    <w:rsid w:val="002E5F6D"/>
    <w:rsid w:val="002E6BEF"/>
    <w:rsid w:val="002E7481"/>
    <w:rsid w:val="002E771A"/>
    <w:rsid w:val="002F3313"/>
    <w:rsid w:val="002F36EB"/>
    <w:rsid w:val="002F3866"/>
    <w:rsid w:val="002F50D1"/>
    <w:rsid w:val="002F6BF2"/>
    <w:rsid w:val="002F743B"/>
    <w:rsid w:val="003001AB"/>
    <w:rsid w:val="00301EB8"/>
    <w:rsid w:val="00301FE9"/>
    <w:rsid w:val="00302A87"/>
    <w:rsid w:val="00303639"/>
    <w:rsid w:val="00303BD3"/>
    <w:rsid w:val="00303CD4"/>
    <w:rsid w:val="00305717"/>
    <w:rsid w:val="00306C64"/>
    <w:rsid w:val="00307089"/>
    <w:rsid w:val="003072DD"/>
    <w:rsid w:val="00307B38"/>
    <w:rsid w:val="00310EF3"/>
    <w:rsid w:val="003146D8"/>
    <w:rsid w:val="0031537F"/>
    <w:rsid w:val="0031757F"/>
    <w:rsid w:val="00317849"/>
    <w:rsid w:val="003217AA"/>
    <w:rsid w:val="003251C7"/>
    <w:rsid w:val="003252FA"/>
    <w:rsid w:val="00325711"/>
    <w:rsid w:val="00326401"/>
    <w:rsid w:val="00331BA1"/>
    <w:rsid w:val="003321E1"/>
    <w:rsid w:val="00332AB1"/>
    <w:rsid w:val="00333700"/>
    <w:rsid w:val="00333CD6"/>
    <w:rsid w:val="0033476B"/>
    <w:rsid w:val="00335723"/>
    <w:rsid w:val="00335AD4"/>
    <w:rsid w:val="00346922"/>
    <w:rsid w:val="0035042A"/>
    <w:rsid w:val="00352385"/>
    <w:rsid w:val="003528B5"/>
    <w:rsid w:val="0035571B"/>
    <w:rsid w:val="00355F3A"/>
    <w:rsid w:val="00356508"/>
    <w:rsid w:val="00360ED8"/>
    <w:rsid w:val="00361643"/>
    <w:rsid w:val="0036193A"/>
    <w:rsid w:val="003648F2"/>
    <w:rsid w:val="0036554E"/>
    <w:rsid w:val="00370434"/>
    <w:rsid w:val="0037438E"/>
    <w:rsid w:val="00376E85"/>
    <w:rsid w:val="00380534"/>
    <w:rsid w:val="003820AC"/>
    <w:rsid w:val="0038225A"/>
    <w:rsid w:val="00386913"/>
    <w:rsid w:val="00387B8B"/>
    <w:rsid w:val="00387C1F"/>
    <w:rsid w:val="00390139"/>
    <w:rsid w:val="00394603"/>
    <w:rsid w:val="00395C2D"/>
    <w:rsid w:val="00396602"/>
    <w:rsid w:val="00397E62"/>
    <w:rsid w:val="003A337D"/>
    <w:rsid w:val="003A4AC8"/>
    <w:rsid w:val="003A4FAB"/>
    <w:rsid w:val="003A5B99"/>
    <w:rsid w:val="003B0325"/>
    <w:rsid w:val="003B0349"/>
    <w:rsid w:val="003B0E8A"/>
    <w:rsid w:val="003B103A"/>
    <w:rsid w:val="003B1757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4D76"/>
    <w:rsid w:val="003E5C19"/>
    <w:rsid w:val="003E707A"/>
    <w:rsid w:val="003E71A4"/>
    <w:rsid w:val="003F02CB"/>
    <w:rsid w:val="003F11D4"/>
    <w:rsid w:val="003F23C7"/>
    <w:rsid w:val="003F258C"/>
    <w:rsid w:val="003F2E28"/>
    <w:rsid w:val="003F2EF8"/>
    <w:rsid w:val="003F3673"/>
    <w:rsid w:val="003F38AE"/>
    <w:rsid w:val="003F3906"/>
    <w:rsid w:val="003F39C2"/>
    <w:rsid w:val="003F3A90"/>
    <w:rsid w:val="003F60FC"/>
    <w:rsid w:val="003F7A23"/>
    <w:rsid w:val="00404786"/>
    <w:rsid w:val="00405259"/>
    <w:rsid w:val="0040666C"/>
    <w:rsid w:val="00406B6F"/>
    <w:rsid w:val="00410675"/>
    <w:rsid w:val="00410D75"/>
    <w:rsid w:val="004140C7"/>
    <w:rsid w:val="004149BB"/>
    <w:rsid w:val="00415E30"/>
    <w:rsid w:val="004208DC"/>
    <w:rsid w:val="00424689"/>
    <w:rsid w:val="00426A5B"/>
    <w:rsid w:val="00426BCB"/>
    <w:rsid w:val="00427CEE"/>
    <w:rsid w:val="004334A8"/>
    <w:rsid w:val="00433AF3"/>
    <w:rsid w:val="00435F43"/>
    <w:rsid w:val="00436511"/>
    <w:rsid w:val="004420F1"/>
    <w:rsid w:val="004435D2"/>
    <w:rsid w:val="004437EE"/>
    <w:rsid w:val="0044684B"/>
    <w:rsid w:val="00446FD9"/>
    <w:rsid w:val="004509D6"/>
    <w:rsid w:val="00451133"/>
    <w:rsid w:val="004514C5"/>
    <w:rsid w:val="00452354"/>
    <w:rsid w:val="00453BD3"/>
    <w:rsid w:val="00455559"/>
    <w:rsid w:val="0045676B"/>
    <w:rsid w:val="00457F16"/>
    <w:rsid w:val="004612E9"/>
    <w:rsid w:val="004620AF"/>
    <w:rsid w:val="00462DF1"/>
    <w:rsid w:val="0046547F"/>
    <w:rsid w:val="004664D4"/>
    <w:rsid w:val="00466AD9"/>
    <w:rsid w:val="00466CA9"/>
    <w:rsid w:val="004672CC"/>
    <w:rsid w:val="00467C0F"/>
    <w:rsid w:val="004708D2"/>
    <w:rsid w:val="00473240"/>
    <w:rsid w:val="004733F0"/>
    <w:rsid w:val="00473F9E"/>
    <w:rsid w:val="00474BAC"/>
    <w:rsid w:val="00474DFA"/>
    <w:rsid w:val="00476410"/>
    <w:rsid w:val="00477A36"/>
    <w:rsid w:val="004870D5"/>
    <w:rsid w:val="00487C76"/>
    <w:rsid w:val="0049133E"/>
    <w:rsid w:val="0049175E"/>
    <w:rsid w:val="0049250F"/>
    <w:rsid w:val="00497031"/>
    <w:rsid w:val="004971AA"/>
    <w:rsid w:val="00497EC7"/>
    <w:rsid w:val="004A0195"/>
    <w:rsid w:val="004A1380"/>
    <w:rsid w:val="004A1605"/>
    <w:rsid w:val="004A2E0B"/>
    <w:rsid w:val="004A3AD6"/>
    <w:rsid w:val="004A3C21"/>
    <w:rsid w:val="004A4AFA"/>
    <w:rsid w:val="004A4CA3"/>
    <w:rsid w:val="004B144A"/>
    <w:rsid w:val="004B30BA"/>
    <w:rsid w:val="004B3127"/>
    <w:rsid w:val="004B3DB5"/>
    <w:rsid w:val="004B3E0E"/>
    <w:rsid w:val="004B5181"/>
    <w:rsid w:val="004B725F"/>
    <w:rsid w:val="004B792F"/>
    <w:rsid w:val="004C1FE6"/>
    <w:rsid w:val="004C5CCB"/>
    <w:rsid w:val="004C6027"/>
    <w:rsid w:val="004C63CA"/>
    <w:rsid w:val="004D1076"/>
    <w:rsid w:val="004D28E7"/>
    <w:rsid w:val="004D447A"/>
    <w:rsid w:val="004D6A3D"/>
    <w:rsid w:val="004D76BC"/>
    <w:rsid w:val="004D7D97"/>
    <w:rsid w:val="004D7DC3"/>
    <w:rsid w:val="004E6FEC"/>
    <w:rsid w:val="004E7AF7"/>
    <w:rsid w:val="004F20C2"/>
    <w:rsid w:val="004F21A4"/>
    <w:rsid w:val="004F3EFC"/>
    <w:rsid w:val="004F4FE2"/>
    <w:rsid w:val="004F7434"/>
    <w:rsid w:val="00500076"/>
    <w:rsid w:val="005012BE"/>
    <w:rsid w:val="005015FE"/>
    <w:rsid w:val="0050237C"/>
    <w:rsid w:val="00502C77"/>
    <w:rsid w:val="005031DC"/>
    <w:rsid w:val="00503ABE"/>
    <w:rsid w:val="0050702F"/>
    <w:rsid w:val="005073B8"/>
    <w:rsid w:val="0051235A"/>
    <w:rsid w:val="005166BE"/>
    <w:rsid w:val="00516AF8"/>
    <w:rsid w:val="0052071B"/>
    <w:rsid w:val="00521CB2"/>
    <w:rsid w:val="005238E2"/>
    <w:rsid w:val="00523F9C"/>
    <w:rsid w:val="005253B0"/>
    <w:rsid w:val="00525DB4"/>
    <w:rsid w:val="00530FE3"/>
    <w:rsid w:val="005334D4"/>
    <w:rsid w:val="00534407"/>
    <w:rsid w:val="00534ECF"/>
    <w:rsid w:val="005362FE"/>
    <w:rsid w:val="005407BA"/>
    <w:rsid w:val="005421A5"/>
    <w:rsid w:val="00542C16"/>
    <w:rsid w:val="00543693"/>
    <w:rsid w:val="00544FCB"/>
    <w:rsid w:val="00550D78"/>
    <w:rsid w:val="00550DB8"/>
    <w:rsid w:val="005520AB"/>
    <w:rsid w:val="00552D08"/>
    <w:rsid w:val="00554A9B"/>
    <w:rsid w:val="00554EF1"/>
    <w:rsid w:val="005559E4"/>
    <w:rsid w:val="0056093D"/>
    <w:rsid w:val="00565549"/>
    <w:rsid w:val="00566A32"/>
    <w:rsid w:val="005704A2"/>
    <w:rsid w:val="00572CF5"/>
    <w:rsid w:val="0057344B"/>
    <w:rsid w:val="00576398"/>
    <w:rsid w:val="00576CF2"/>
    <w:rsid w:val="00581D10"/>
    <w:rsid w:val="00582552"/>
    <w:rsid w:val="0058507B"/>
    <w:rsid w:val="005863BD"/>
    <w:rsid w:val="00586720"/>
    <w:rsid w:val="005876A9"/>
    <w:rsid w:val="0059143C"/>
    <w:rsid w:val="00592190"/>
    <w:rsid w:val="0059311F"/>
    <w:rsid w:val="00595C3F"/>
    <w:rsid w:val="005A1B1C"/>
    <w:rsid w:val="005A2D12"/>
    <w:rsid w:val="005A2E96"/>
    <w:rsid w:val="005A304D"/>
    <w:rsid w:val="005A3DDE"/>
    <w:rsid w:val="005A50FA"/>
    <w:rsid w:val="005A5CB1"/>
    <w:rsid w:val="005A5E89"/>
    <w:rsid w:val="005A6713"/>
    <w:rsid w:val="005A7F06"/>
    <w:rsid w:val="005B00F9"/>
    <w:rsid w:val="005B0F39"/>
    <w:rsid w:val="005B1087"/>
    <w:rsid w:val="005B2F0A"/>
    <w:rsid w:val="005B2F5D"/>
    <w:rsid w:val="005B50A4"/>
    <w:rsid w:val="005B5B7E"/>
    <w:rsid w:val="005B6BA0"/>
    <w:rsid w:val="005B7393"/>
    <w:rsid w:val="005B7942"/>
    <w:rsid w:val="005B79E3"/>
    <w:rsid w:val="005C0085"/>
    <w:rsid w:val="005C00E5"/>
    <w:rsid w:val="005C03AE"/>
    <w:rsid w:val="005C283E"/>
    <w:rsid w:val="005C28C5"/>
    <w:rsid w:val="005C40B0"/>
    <w:rsid w:val="005C5463"/>
    <w:rsid w:val="005D2AF7"/>
    <w:rsid w:val="005D6687"/>
    <w:rsid w:val="005E06BB"/>
    <w:rsid w:val="005E1856"/>
    <w:rsid w:val="005E419B"/>
    <w:rsid w:val="005E65FA"/>
    <w:rsid w:val="005E7665"/>
    <w:rsid w:val="005F0137"/>
    <w:rsid w:val="005F08C5"/>
    <w:rsid w:val="005F12CF"/>
    <w:rsid w:val="005F24B2"/>
    <w:rsid w:val="005F353E"/>
    <w:rsid w:val="005F5255"/>
    <w:rsid w:val="005F582D"/>
    <w:rsid w:val="005F64F5"/>
    <w:rsid w:val="005F684B"/>
    <w:rsid w:val="005F7666"/>
    <w:rsid w:val="0060084B"/>
    <w:rsid w:val="00602A83"/>
    <w:rsid w:val="00603071"/>
    <w:rsid w:val="006039B8"/>
    <w:rsid w:val="006041AC"/>
    <w:rsid w:val="00604F9D"/>
    <w:rsid w:val="006066DF"/>
    <w:rsid w:val="006101DD"/>
    <w:rsid w:val="0061069F"/>
    <w:rsid w:val="006117C2"/>
    <w:rsid w:val="006131D3"/>
    <w:rsid w:val="0061432B"/>
    <w:rsid w:val="006143F5"/>
    <w:rsid w:val="00614D96"/>
    <w:rsid w:val="0061739C"/>
    <w:rsid w:val="006219BB"/>
    <w:rsid w:val="00623AA2"/>
    <w:rsid w:val="00623D96"/>
    <w:rsid w:val="006271F3"/>
    <w:rsid w:val="00630F6F"/>
    <w:rsid w:val="006335E2"/>
    <w:rsid w:val="006339FB"/>
    <w:rsid w:val="00637FFA"/>
    <w:rsid w:val="00640BC2"/>
    <w:rsid w:val="00642A49"/>
    <w:rsid w:val="006433F3"/>
    <w:rsid w:val="006442F7"/>
    <w:rsid w:val="00644F54"/>
    <w:rsid w:val="006467B0"/>
    <w:rsid w:val="00646CF9"/>
    <w:rsid w:val="00646E62"/>
    <w:rsid w:val="0065052A"/>
    <w:rsid w:val="00653731"/>
    <w:rsid w:val="00654805"/>
    <w:rsid w:val="00656606"/>
    <w:rsid w:val="006607C1"/>
    <w:rsid w:val="00663666"/>
    <w:rsid w:val="00664F3F"/>
    <w:rsid w:val="00665A82"/>
    <w:rsid w:val="00665E8E"/>
    <w:rsid w:val="00670B84"/>
    <w:rsid w:val="0067121E"/>
    <w:rsid w:val="00673062"/>
    <w:rsid w:val="00673CAC"/>
    <w:rsid w:val="00673E16"/>
    <w:rsid w:val="006746FB"/>
    <w:rsid w:val="006747E7"/>
    <w:rsid w:val="00674EEA"/>
    <w:rsid w:val="00675902"/>
    <w:rsid w:val="00676B45"/>
    <w:rsid w:val="0067722A"/>
    <w:rsid w:val="006804C0"/>
    <w:rsid w:val="00680FA3"/>
    <w:rsid w:val="00681C47"/>
    <w:rsid w:val="00681F7F"/>
    <w:rsid w:val="0068290E"/>
    <w:rsid w:val="00683653"/>
    <w:rsid w:val="00684210"/>
    <w:rsid w:val="00685B9C"/>
    <w:rsid w:val="0068636E"/>
    <w:rsid w:val="00690423"/>
    <w:rsid w:val="00691021"/>
    <w:rsid w:val="006910D3"/>
    <w:rsid w:val="00692AAF"/>
    <w:rsid w:val="00694A80"/>
    <w:rsid w:val="00696CE0"/>
    <w:rsid w:val="006A2A8D"/>
    <w:rsid w:val="006A2C79"/>
    <w:rsid w:val="006A340F"/>
    <w:rsid w:val="006A3667"/>
    <w:rsid w:val="006A54DE"/>
    <w:rsid w:val="006A5696"/>
    <w:rsid w:val="006A5D69"/>
    <w:rsid w:val="006A6990"/>
    <w:rsid w:val="006B09ED"/>
    <w:rsid w:val="006B1620"/>
    <w:rsid w:val="006B1A02"/>
    <w:rsid w:val="006B1F78"/>
    <w:rsid w:val="006B346B"/>
    <w:rsid w:val="006C3886"/>
    <w:rsid w:val="006C46B9"/>
    <w:rsid w:val="006C7186"/>
    <w:rsid w:val="006C76DD"/>
    <w:rsid w:val="006D31AF"/>
    <w:rsid w:val="006D4FC0"/>
    <w:rsid w:val="006D62C4"/>
    <w:rsid w:val="006D77DC"/>
    <w:rsid w:val="006E2756"/>
    <w:rsid w:val="006E3E13"/>
    <w:rsid w:val="006E3E61"/>
    <w:rsid w:val="006E3FB3"/>
    <w:rsid w:val="006E4991"/>
    <w:rsid w:val="006E4C4C"/>
    <w:rsid w:val="006E4D28"/>
    <w:rsid w:val="006E4DE7"/>
    <w:rsid w:val="006E7510"/>
    <w:rsid w:val="006E7BDD"/>
    <w:rsid w:val="006F1D0F"/>
    <w:rsid w:val="006F20D2"/>
    <w:rsid w:val="006F3B65"/>
    <w:rsid w:val="006F546A"/>
    <w:rsid w:val="007007C8"/>
    <w:rsid w:val="007016DF"/>
    <w:rsid w:val="0070183D"/>
    <w:rsid w:val="00701918"/>
    <w:rsid w:val="007039F6"/>
    <w:rsid w:val="00707F67"/>
    <w:rsid w:val="007101A6"/>
    <w:rsid w:val="007127E2"/>
    <w:rsid w:val="007141E9"/>
    <w:rsid w:val="0071557C"/>
    <w:rsid w:val="007226C4"/>
    <w:rsid w:val="007234E0"/>
    <w:rsid w:val="007237CD"/>
    <w:rsid w:val="007246E8"/>
    <w:rsid w:val="007259BE"/>
    <w:rsid w:val="007268FA"/>
    <w:rsid w:val="00733AFB"/>
    <w:rsid w:val="00733BC1"/>
    <w:rsid w:val="0073486C"/>
    <w:rsid w:val="0073541E"/>
    <w:rsid w:val="007354A3"/>
    <w:rsid w:val="0073642F"/>
    <w:rsid w:val="00741E98"/>
    <w:rsid w:val="007453E5"/>
    <w:rsid w:val="00746B0E"/>
    <w:rsid w:val="007502D5"/>
    <w:rsid w:val="007510E4"/>
    <w:rsid w:val="00752C7F"/>
    <w:rsid w:val="00754EDE"/>
    <w:rsid w:val="007619F4"/>
    <w:rsid w:val="007635BE"/>
    <w:rsid w:val="00764B98"/>
    <w:rsid w:val="00765261"/>
    <w:rsid w:val="007663ED"/>
    <w:rsid w:val="00767543"/>
    <w:rsid w:val="00767746"/>
    <w:rsid w:val="007678D4"/>
    <w:rsid w:val="007710A7"/>
    <w:rsid w:val="00772786"/>
    <w:rsid w:val="0077546F"/>
    <w:rsid w:val="007754E4"/>
    <w:rsid w:val="00775719"/>
    <w:rsid w:val="00776136"/>
    <w:rsid w:val="00776ACB"/>
    <w:rsid w:val="00777D2E"/>
    <w:rsid w:val="0078122D"/>
    <w:rsid w:val="00781E4E"/>
    <w:rsid w:val="00783800"/>
    <w:rsid w:val="00784007"/>
    <w:rsid w:val="00784A29"/>
    <w:rsid w:val="0078768D"/>
    <w:rsid w:val="00791765"/>
    <w:rsid w:val="00791C20"/>
    <w:rsid w:val="00793CCB"/>
    <w:rsid w:val="00795946"/>
    <w:rsid w:val="00797519"/>
    <w:rsid w:val="00797DE0"/>
    <w:rsid w:val="007A2D96"/>
    <w:rsid w:val="007A33F7"/>
    <w:rsid w:val="007A3E9B"/>
    <w:rsid w:val="007A528A"/>
    <w:rsid w:val="007B1169"/>
    <w:rsid w:val="007B1DB8"/>
    <w:rsid w:val="007B21DD"/>
    <w:rsid w:val="007B3BDB"/>
    <w:rsid w:val="007B66CC"/>
    <w:rsid w:val="007B6DA0"/>
    <w:rsid w:val="007B6F99"/>
    <w:rsid w:val="007B7375"/>
    <w:rsid w:val="007C064A"/>
    <w:rsid w:val="007C3FA0"/>
    <w:rsid w:val="007C4A0E"/>
    <w:rsid w:val="007C5D58"/>
    <w:rsid w:val="007C6032"/>
    <w:rsid w:val="007C7432"/>
    <w:rsid w:val="007D0ADB"/>
    <w:rsid w:val="007D1B83"/>
    <w:rsid w:val="007D23E6"/>
    <w:rsid w:val="007D43E8"/>
    <w:rsid w:val="007D50AA"/>
    <w:rsid w:val="007D53F7"/>
    <w:rsid w:val="007D7C0C"/>
    <w:rsid w:val="007D7E51"/>
    <w:rsid w:val="007E21A4"/>
    <w:rsid w:val="007E6272"/>
    <w:rsid w:val="007E72A6"/>
    <w:rsid w:val="007E7F39"/>
    <w:rsid w:val="007F0EAE"/>
    <w:rsid w:val="007F30BD"/>
    <w:rsid w:val="007F46BF"/>
    <w:rsid w:val="007F7064"/>
    <w:rsid w:val="007F72B0"/>
    <w:rsid w:val="007F7841"/>
    <w:rsid w:val="0080075C"/>
    <w:rsid w:val="00800A50"/>
    <w:rsid w:val="008031E4"/>
    <w:rsid w:val="0080373F"/>
    <w:rsid w:val="0081023E"/>
    <w:rsid w:val="0081361D"/>
    <w:rsid w:val="008141CD"/>
    <w:rsid w:val="00814B94"/>
    <w:rsid w:val="00814C77"/>
    <w:rsid w:val="00820A51"/>
    <w:rsid w:val="00820AA4"/>
    <w:rsid w:val="00823266"/>
    <w:rsid w:val="008234BD"/>
    <w:rsid w:val="00824360"/>
    <w:rsid w:val="0082674D"/>
    <w:rsid w:val="00830C24"/>
    <w:rsid w:val="00831B09"/>
    <w:rsid w:val="00833AFE"/>
    <w:rsid w:val="0083443C"/>
    <w:rsid w:val="00835F37"/>
    <w:rsid w:val="0083650C"/>
    <w:rsid w:val="00837595"/>
    <w:rsid w:val="0083775E"/>
    <w:rsid w:val="00837D2A"/>
    <w:rsid w:val="0084076B"/>
    <w:rsid w:val="00841B4D"/>
    <w:rsid w:val="008437E8"/>
    <w:rsid w:val="00845491"/>
    <w:rsid w:val="0085232A"/>
    <w:rsid w:val="0085490C"/>
    <w:rsid w:val="00854E5C"/>
    <w:rsid w:val="008553E4"/>
    <w:rsid w:val="00856E12"/>
    <w:rsid w:val="00862BB0"/>
    <w:rsid w:val="008634BD"/>
    <w:rsid w:val="0086570E"/>
    <w:rsid w:val="00865F90"/>
    <w:rsid w:val="00873E82"/>
    <w:rsid w:val="008740FE"/>
    <w:rsid w:val="00877D09"/>
    <w:rsid w:val="00881294"/>
    <w:rsid w:val="008831D3"/>
    <w:rsid w:val="00883825"/>
    <w:rsid w:val="00887C55"/>
    <w:rsid w:val="00887D08"/>
    <w:rsid w:val="00891C1F"/>
    <w:rsid w:val="00892175"/>
    <w:rsid w:val="008928D8"/>
    <w:rsid w:val="00892946"/>
    <w:rsid w:val="0089335E"/>
    <w:rsid w:val="008953B6"/>
    <w:rsid w:val="00896BFB"/>
    <w:rsid w:val="008A02D2"/>
    <w:rsid w:val="008A3CCF"/>
    <w:rsid w:val="008A48ED"/>
    <w:rsid w:val="008A741A"/>
    <w:rsid w:val="008A7967"/>
    <w:rsid w:val="008A7B4A"/>
    <w:rsid w:val="008B07B8"/>
    <w:rsid w:val="008B083E"/>
    <w:rsid w:val="008B2B9D"/>
    <w:rsid w:val="008B3111"/>
    <w:rsid w:val="008B3E76"/>
    <w:rsid w:val="008B5598"/>
    <w:rsid w:val="008B566F"/>
    <w:rsid w:val="008C181C"/>
    <w:rsid w:val="008C317A"/>
    <w:rsid w:val="008C5155"/>
    <w:rsid w:val="008C5498"/>
    <w:rsid w:val="008C78E1"/>
    <w:rsid w:val="008D1748"/>
    <w:rsid w:val="008E1B03"/>
    <w:rsid w:val="008E51FF"/>
    <w:rsid w:val="008E556E"/>
    <w:rsid w:val="008E5EA2"/>
    <w:rsid w:val="008F10CC"/>
    <w:rsid w:val="008F2781"/>
    <w:rsid w:val="008F3B18"/>
    <w:rsid w:val="008F4111"/>
    <w:rsid w:val="008F4418"/>
    <w:rsid w:val="008F4C0B"/>
    <w:rsid w:val="008F4C11"/>
    <w:rsid w:val="008F740D"/>
    <w:rsid w:val="008F7D1F"/>
    <w:rsid w:val="009018FD"/>
    <w:rsid w:val="0090256B"/>
    <w:rsid w:val="00903BB6"/>
    <w:rsid w:val="009048A5"/>
    <w:rsid w:val="00905F67"/>
    <w:rsid w:val="00910F09"/>
    <w:rsid w:val="00911E45"/>
    <w:rsid w:val="009125F9"/>
    <w:rsid w:val="00916112"/>
    <w:rsid w:val="00916F03"/>
    <w:rsid w:val="00917451"/>
    <w:rsid w:val="00921662"/>
    <w:rsid w:val="00923541"/>
    <w:rsid w:val="00925269"/>
    <w:rsid w:val="0092569D"/>
    <w:rsid w:val="00925B80"/>
    <w:rsid w:val="00926142"/>
    <w:rsid w:val="00926C08"/>
    <w:rsid w:val="00926ED6"/>
    <w:rsid w:val="00927285"/>
    <w:rsid w:val="00927AA7"/>
    <w:rsid w:val="00927C90"/>
    <w:rsid w:val="00930BEC"/>
    <w:rsid w:val="00933CD5"/>
    <w:rsid w:val="00933D17"/>
    <w:rsid w:val="00934796"/>
    <w:rsid w:val="009356A8"/>
    <w:rsid w:val="0093660D"/>
    <w:rsid w:val="00936812"/>
    <w:rsid w:val="0093792E"/>
    <w:rsid w:val="009406B9"/>
    <w:rsid w:val="00941BE7"/>
    <w:rsid w:val="009421A9"/>
    <w:rsid w:val="0094244F"/>
    <w:rsid w:val="00945547"/>
    <w:rsid w:val="009460D3"/>
    <w:rsid w:val="009527F5"/>
    <w:rsid w:val="0095780E"/>
    <w:rsid w:val="00957B32"/>
    <w:rsid w:val="009600AD"/>
    <w:rsid w:val="009619BC"/>
    <w:rsid w:val="00962810"/>
    <w:rsid w:val="0096366D"/>
    <w:rsid w:val="00964221"/>
    <w:rsid w:val="00964AEB"/>
    <w:rsid w:val="00965F4E"/>
    <w:rsid w:val="00966398"/>
    <w:rsid w:val="0096695A"/>
    <w:rsid w:val="009669CE"/>
    <w:rsid w:val="0096756C"/>
    <w:rsid w:val="00967798"/>
    <w:rsid w:val="0097115E"/>
    <w:rsid w:val="009714F2"/>
    <w:rsid w:val="0097460E"/>
    <w:rsid w:val="0097677E"/>
    <w:rsid w:val="00976B84"/>
    <w:rsid w:val="009809CE"/>
    <w:rsid w:val="00983053"/>
    <w:rsid w:val="00983129"/>
    <w:rsid w:val="0098341B"/>
    <w:rsid w:val="00992B38"/>
    <w:rsid w:val="00992EE7"/>
    <w:rsid w:val="0099461F"/>
    <w:rsid w:val="00995C0A"/>
    <w:rsid w:val="009A098E"/>
    <w:rsid w:val="009A7C3D"/>
    <w:rsid w:val="009B1068"/>
    <w:rsid w:val="009B3F56"/>
    <w:rsid w:val="009B7B74"/>
    <w:rsid w:val="009C03B2"/>
    <w:rsid w:val="009C13AD"/>
    <w:rsid w:val="009C1C18"/>
    <w:rsid w:val="009C27E3"/>
    <w:rsid w:val="009C2B8D"/>
    <w:rsid w:val="009C593A"/>
    <w:rsid w:val="009D19BF"/>
    <w:rsid w:val="009D3E2E"/>
    <w:rsid w:val="009D6B96"/>
    <w:rsid w:val="009E1467"/>
    <w:rsid w:val="009E2567"/>
    <w:rsid w:val="009E6A1B"/>
    <w:rsid w:val="009E7A8A"/>
    <w:rsid w:val="009E7C36"/>
    <w:rsid w:val="009F3632"/>
    <w:rsid w:val="00A02516"/>
    <w:rsid w:val="00A105F0"/>
    <w:rsid w:val="00A10751"/>
    <w:rsid w:val="00A13044"/>
    <w:rsid w:val="00A13BE0"/>
    <w:rsid w:val="00A14BBB"/>
    <w:rsid w:val="00A15FB3"/>
    <w:rsid w:val="00A16B03"/>
    <w:rsid w:val="00A16C63"/>
    <w:rsid w:val="00A16C81"/>
    <w:rsid w:val="00A16CF7"/>
    <w:rsid w:val="00A1781C"/>
    <w:rsid w:val="00A17D4A"/>
    <w:rsid w:val="00A2607A"/>
    <w:rsid w:val="00A264A0"/>
    <w:rsid w:val="00A26561"/>
    <w:rsid w:val="00A26BB4"/>
    <w:rsid w:val="00A27282"/>
    <w:rsid w:val="00A27F03"/>
    <w:rsid w:val="00A27F12"/>
    <w:rsid w:val="00A302D2"/>
    <w:rsid w:val="00A30B18"/>
    <w:rsid w:val="00A32759"/>
    <w:rsid w:val="00A3420C"/>
    <w:rsid w:val="00A36582"/>
    <w:rsid w:val="00A36E96"/>
    <w:rsid w:val="00A40223"/>
    <w:rsid w:val="00A435E1"/>
    <w:rsid w:val="00A43CA2"/>
    <w:rsid w:val="00A50541"/>
    <w:rsid w:val="00A51467"/>
    <w:rsid w:val="00A541D1"/>
    <w:rsid w:val="00A54893"/>
    <w:rsid w:val="00A5690A"/>
    <w:rsid w:val="00A56DF6"/>
    <w:rsid w:val="00A61E72"/>
    <w:rsid w:val="00A627F8"/>
    <w:rsid w:val="00A64413"/>
    <w:rsid w:val="00A655D6"/>
    <w:rsid w:val="00A658F9"/>
    <w:rsid w:val="00A70CBF"/>
    <w:rsid w:val="00A7162A"/>
    <w:rsid w:val="00A71C89"/>
    <w:rsid w:val="00A71D18"/>
    <w:rsid w:val="00A75E47"/>
    <w:rsid w:val="00A76D64"/>
    <w:rsid w:val="00A775EB"/>
    <w:rsid w:val="00A7789E"/>
    <w:rsid w:val="00A80450"/>
    <w:rsid w:val="00A80DF0"/>
    <w:rsid w:val="00A814D4"/>
    <w:rsid w:val="00A82500"/>
    <w:rsid w:val="00A8376F"/>
    <w:rsid w:val="00A85294"/>
    <w:rsid w:val="00A85494"/>
    <w:rsid w:val="00A85C58"/>
    <w:rsid w:val="00A86AA6"/>
    <w:rsid w:val="00A87015"/>
    <w:rsid w:val="00A87F7C"/>
    <w:rsid w:val="00A90EA1"/>
    <w:rsid w:val="00A911F7"/>
    <w:rsid w:val="00AA4454"/>
    <w:rsid w:val="00AA53D7"/>
    <w:rsid w:val="00AA63FA"/>
    <w:rsid w:val="00AA6D7A"/>
    <w:rsid w:val="00AA711C"/>
    <w:rsid w:val="00AA71BC"/>
    <w:rsid w:val="00AA787B"/>
    <w:rsid w:val="00AB0522"/>
    <w:rsid w:val="00AB0796"/>
    <w:rsid w:val="00AB1482"/>
    <w:rsid w:val="00AB1A57"/>
    <w:rsid w:val="00AB1E9A"/>
    <w:rsid w:val="00AB2127"/>
    <w:rsid w:val="00AB3D1F"/>
    <w:rsid w:val="00AB4E55"/>
    <w:rsid w:val="00AC4A0D"/>
    <w:rsid w:val="00AD113F"/>
    <w:rsid w:val="00AD1842"/>
    <w:rsid w:val="00AD5501"/>
    <w:rsid w:val="00AD56E4"/>
    <w:rsid w:val="00AD5F80"/>
    <w:rsid w:val="00AD6E56"/>
    <w:rsid w:val="00AD6F61"/>
    <w:rsid w:val="00AE0B87"/>
    <w:rsid w:val="00AE20A3"/>
    <w:rsid w:val="00AE2C12"/>
    <w:rsid w:val="00AE4135"/>
    <w:rsid w:val="00AE5A0F"/>
    <w:rsid w:val="00AE5FE3"/>
    <w:rsid w:val="00AE711C"/>
    <w:rsid w:val="00AE7FDE"/>
    <w:rsid w:val="00AF1079"/>
    <w:rsid w:val="00AF42BA"/>
    <w:rsid w:val="00AF58B9"/>
    <w:rsid w:val="00AF790E"/>
    <w:rsid w:val="00B01886"/>
    <w:rsid w:val="00B02805"/>
    <w:rsid w:val="00B06379"/>
    <w:rsid w:val="00B06A4B"/>
    <w:rsid w:val="00B10E31"/>
    <w:rsid w:val="00B11B07"/>
    <w:rsid w:val="00B137D3"/>
    <w:rsid w:val="00B15024"/>
    <w:rsid w:val="00B154AF"/>
    <w:rsid w:val="00B15D24"/>
    <w:rsid w:val="00B164C4"/>
    <w:rsid w:val="00B2260A"/>
    <w:rsid w:val="00B23530"/>
    <w:rsid w:val="00B23E7E"/>
    <w:rsid w:val="00B24B32"/>
    <w:rsid w:val="00B31576"/>
    <w:rsid w:val="00B31D7F"/>
    <w:rsid w:val="00B3301F"/>
    <w:rsid w:val="00B336B4"/>
    <w:rsid w:val="00B36866"/>
    <w:rsid w:val="00B4104E"/>
    <w:rsid w:val="00B41FBA"/>
    <w:rsid w:val="00B430DC"/>
    <w:rsid w:val="00B43869"/>
    <w:rsid w:val="00B43CB2"/>
    <w:rsid w:val="00B44BD7"/>
    <w:rsid w:val="00B46B87"/>
    <w:rsid w:val="00B47A6B"/>
    <w:rsid w:val="00B51A4D"/>
    <w:rsid w:val="00B520ED"/>
    <w:rsid w:val="00B537AF"/>
    <w:rsid w:val="00B54E3C"/>
    <w:rsid w:val="00B556C6"/>
    <w:rsid w:val="00B55996"/>
    <w:rsid w:val="00B563B4"/>
    <w:rsid w:val="00B56686"/>
    <w:rsid w:val="00B630A8"/>
    <w:rsid w:val="00B63580"/>
    <w:rsid w:val="00B65505"/>
    <w:rsid w:val="00B65756"/>
    <w:rsid w:val="00B66DC3"/>
    <w:rsid w:val="00B66EF8"/>
    <w:rsid w:val="00B67573"/>
    <w:rsid w:val="00B705C9"/>
    <w:rsid w:val="00B71A6B"/>
    <w:rsid w:val="00B75526"/>
    <w:rsid w:val="00B75C32"/>
    <w:rsid w:val="00B81E88"/>
    <w:rsid w:val="00B8498F"/>
    <w:rsid w:val="00B85FA1"/>
    <w:rsid w:val="00B860CB"/>
    <w:rsid w:val="00B87900"/>
    <w:rsid w:val="00B90374"/>
    <w:rsid w:val="00B90BD3"/>
    <w:rsid w:val="00B91BF4"/>
    <w:rsid w:val="00B94195"/>
    <w:rsid w:val="00B941EF"/>
    <w:rsid w:val="00B94A8B"/>
    <w:rsid w:val="00B94F29"/>
    <w:rsid w:val="00B954FA"/>
    <w:rsid w:val="00B957D7"/>
    <w:rsid w:val="00B97187"/>
    <w:rsid w:val="00B97C48"/>
    <w:rsid w:val="00BA1725"/>
    <w:rsid w:val="00BB02ED"/>
    <w:rsid w:val="00BB095C"/>
    <w:rsid w:val="00BB11E6"/>
    <w:rsid w:val="00BB2120"/>
    <w:rsid w:val="00BB4F32"/>
    <w:rsid w:val="00BB542B"/>
    <w:rsid w:val="00BB5CBE"/>
    <w:rsid w:val="00BB5E04"/>
    <w:rsid w:val="00BB5FE0"/>
    <w:rsid w:val="00BC2C9B"/>
    <w:rsid w:val="00BC30B5"/>
    <w:rsid w:val="00BC4B2D"/>
    <w:rsid w:val="00BC5E8B"/>
    <w:rsid w:val="00BD00FC"/>
    <w:rsid w:val="00BD30C5"/>
    <w:rsid w:val="00BD432C"/>
    <w:rsid w:val="00BD4617"/>
    <w:rsid w:val="00BD505D"/>
    <w:rsid w:val="00BD6B65"/>
    <w:rsid w:val="00BE0AEB"/>
    <w:rsid w:val="00BE1703"/>
    <w:rsid w:val="00BE538D"/>
    <w:rsid w:val="00BE57B0"/>
    <w:rsid w:val="00BE5B41"/>
    <w:rsid w:val="00BE6702"/>
    <w:rsid w:val="00BF0D7D"/>
    <w:rsid w:val="00BF6466"/>
    <w:rsid w:val="00BF6C47"/>
    <w:rsid w:val="00BF7D81"/>
    <w:rsid w:val="00C00FA1"/>
    <w:rsid w:val="00C04075"/>
    <w:rsid w:val="00C05491"/>
    <w:rsid w:val="00C07010"/>
    <w:rsid w:val="00C11777"/>
    <w:rsid w:val="00C11BA3"/>
    <w:rsid w:val="00C12582"/>
    <w:rsid w:val="00C14237"/>
    <w:rsid w:val="00C16AF0"/>
    <w:rsid w:val="00C17D11"/>
    <w:rsid w:val="00C210BA"/>
    <w:rsid w:val="00C216F2"/>
    <w:rsid w:val="00C2264A"/>
    <w:rsid w:val="00C227F9"/>
    <w:rsid w:val="00C22E68"/>
    <w:rsid w:val="00C2537A"/>
    <w:rsid w:val="00C262ED"/>
    <w:rsid w:val="00C26C8E"/>
    <w:rsid w:val="00C27AAD"/>
    <w:rsid w:val="00C27F94"/>
    <w:rsid w:val="00C30E32"/>
    <w:rsid w:val="00C322B6"/>
    <w:rsid w:val="00C32B9C"/>
    <w:rsid w:val="00C3322E"/>
    <w:rsid w:val="00C33273"/>
    <w:rsid w:val="00C335CC"/>
    <w:rsid w:val="00C35FB7"/>
    <w:rsid w:val="00C4167D"/>
    <w:rsid w:val="00C41CA9"/>
    <w:rsid w:val="00C43842"/>
    <w:rsid w:val="00C441B9"/>
    <w:rsid w:val="00C46495"/>
    <w:rsid w:val="00C47C36"/>
    <w:rsid w:val="00C50010"/>
    <w:rsid w:val="00C51187"/>
    <w:rsid w:val="00C522A0"/>
    <w:rsid w:val="00C53911"/>
    <w:rsid w:val="00C53CDA"/>
    <w:rsid w:val="00C546A1"/>
    <w:rsid w:val="00C55963"/>
    <w:rsid w:val="00C55EF6"/>
    <w:rsid w:val="00C5672D"/>
    <w:rsid w:val="00C5705D"/>
    <w:rsid w:val="00C5757B"/>
    <w:rsid w:val="00C57E5E"/>
    <w:rsid w:val="00C6095C"/>
    <w:rsid w:val="00C62C66"/>
    <w:rsid w:val="00C65052"/>
    <w:rsid w:val="00C67A59"/>
    <w:rsid w:val="00C70B2B"/>
    <w:rsid w:val="00C7169E"/>
    <w:rsid w:val="00C72055"/>
    <w:rsid w:val="00C76DBF"/>
    <w:rsid w:val="00C80C6B"/>
    <w:rsid w:val="00C82926"/>
    <w:rsid w:val="00C84039"/>
    <w:rsid w:val="00C8599B"/>
    <w:rsid w:val="00C87160"/>
    <w:rsid w:val="00C906EA"/>
    <w:rsid w:val="00C93C31"/>
    <w:rsid w:val="00C94B2E"/>
    <w:rsid w:val="00C94D5E"/>
    <w:rsid w:val="00C97013"/>
    <w:rsid w:val="00CA4915"/>
    <w:rsid w:val="00CA7B10"/>
    <w:rsid w:val="00CB0857"/>
    <w:rsid w:val="00CB116F"/>
    <w:rsid w:val="00CB19D1"/>
    <w:rsid w:val="00CB38C6"/>
    <w:rsid w:val="00CB676A"/>
    <w:rsid w:val="00CB6F44"/>
    <w:rsid w:val="00CB769C"/>
    <w:rsid w:val="00CB79CD"/>
    <w:rsid w:val="00CC082D"/>
    <w:rsid w:val="00CD0B49"/>
    <w:rsid w:val="00CD337C"/>
    <w:rsid w:val="00CE37E2"/>
    <w:rsid w:val="00CE4254"/>
    <w:rsid w:val="00CE5AC2"/>
    <w:rsid w:val="00CE6706"/>
    <w:rsid w:val="00CE685B"/>
    <w:rsid w:val="00CF081B"/>
    <w:rsid w:val="00CF0F8B"/>
    <w:rsid w:val="00CF363A"/>
    <w:rsid w:val="00CF45C2"/>
    <w:rsid w:val="00CF46A0"/>
    <w:rsid w:val="00CF5C60"/>
    <w:rsid w:val="00CF6440"/>
    <w:rsid w:val="00D03C7F"/>
    <w:rsid w:val="00D06BCF"/>
    <w:rsid w:val="00D13474"/>
    <w:rsid w:val="00D15FE6"/>
    <w:rsid w:val="00D174E1"/>
    <w:rsid w:val="00D17B70"/>
    <w:rsid w:val="00D21C28"/>
    <w:rsid w:val="00D222FF"/>
    <w:rsid w:val="00D23330"/>
    <w:rsid w:val="00D23D73"/>
    <w:rsid w:val="00D242A8"/>
    <w:rsid w:val="00D26398"/>
    <w:rsid w:val="00D2778D"/>
    <w:rsid w:val="00D326D4"/>
    <w:rsid w:val="00D36B81"/>
    <w:rsid w:val="00D36F68"/>
    <w:rsid w:val="00D371DF"/>
    <w:rsid w:val="00D40160"/>
    <w:rsid w:val="00D403FB"/>
    <w:rsid w:val="00D405BC"/>
    <w:rsid w:val="00D42BC2"/>
    <w:rsid w:val="00D45F09"/>
    <w:rsid w:val="00D4633F"/>
    <w:rsid w:val="00D517F1"/>
    <w:rsid w:val="00D523F8"/>
    <w:rsid w:val="00D54CDF"/>
    <w:rsid w:val="00D556EB"/>
    <w:rsid w:val="00D55A1B"/>
    <w:rsid w:val="00D55AE8"/>
    <w:rsid w:val="00D55ECA"/>
    <w:rsid w:val="00D57206"/>
    <w:rsid w:val="00D609FE"/>
    <w:rsid w:val="00D618C0"/>
    <w:rsid w:val="00D62ECC"/>
    <w:rsid w:val="00D662C1"/>
    <w:rsid w:val="00D67937"/>
    <w:rsid w:val="00D67FA1"/>
    <w:rsid w:val="00D719EC"/>
    <w:rsid w:val="00D72A65"/>
    <w:rsid w:val="00D75A39"/>
    <w:rsid w:val="00D75B2C"/>
    <w:rsid w:val="00D75C2F"/>
    <w:rsid w:val="00D75C79"/>
    <w:rsid w:val="00D763C5"/>
    <w:rsid w:val="00D76848"/>
    <w:rsid w:val="00D76F50"/>
    <w:rsid w:val="00D81DC1"/>
    <w:rsid w:val="00D82561"/>
    <w:rsid w:val="00D837D1"/>
    <w:rsid w:val="00D84218"/>
    <w:rsid w:val="00D842A9"/>
    <w:rsid w:val="00D92313"/>
    <w:rsid w:val="00D95AE8"/>
    <w:rsid w:val="00DA072D"/>
    <w:rsid w:val="00DA0BC5"/>
    <w:rsid w:val="00DA0F6D"/>
    <w:rsid w:val="00DA2C70"/>
    <w:rsid w:val="00DB06E8"/>
    <w:rsid w:val="00DB1ABB"/>
    <w:rsid w:val="00DB516D"/>
    <w:rsid w:val="00DC031B"/>
    <w:rsid w:val="00DC4240"/>
    <w:rsid w:val="00DC6664"/>
    <w:rsid w:val="00DC6AE6"/>
    <w:rsid w:val="00DD18D7"/>
    <w:rsid w:val="00DD2ABD"/>
    <w:rsid w:val="00DD3C25"/>
    <w:rsid w:val="00DD5539"/>
    <w:rsid w:val="00DD6C9D"/>
    <w:rsid w:val="00DD7B6B"/>
    <w:rsid w:val="00DE0AC0"/>
    <w:rsid w:val="00DE4AD6"/>
    <w:rsid w:val="00DE7886"/>
    <w:rsid w:val="00DE78A5"/>
    <w:rsid w:val="00DF07B6"/>
    <w:rsid w:val="00DF0D72"/>
    <w:rsid w:val="00DF2A08"/>
    <w:rsid w:val="00DF507A"/>
    <w:rsid w:val="00DF568A"/>
    <w:rsid w:val="00DF57AE"/>
    <w:rsid w:val="00DF5843"/>
    <w:rsid w:val="00DF6482"/>
    <w:rsid w:val="00DF69F8"/>
    <w:rsid w:val="00DF6CE3"/>
    <w:rsid w:val="00E014E0"/>
    <w:rsid w:val="00E03E1A"/>
    <w:rsid w:val="00E0442B"/>
    <w:rsid w:val="00E061AD"/>
    <w:rsid w:val="00E12BF8"/>
    <w:rsid w:val="00E1390D"/>
    <w:rsid w:val="00E14AEF"/>
    <w:rsid w:val="00E14B54"/>
    <w:rsid w:val="00E20836"/>
    <w:rsid w:val="00E20A49"/>
    <w:rsid w:val="00E227CF"/>
    <w:rsid w:val="00E238FD"/>
    <w:rsid w:val="00E24A31"/>
    <w:rsid w:val="00E25F3D"/>
    <w:rsid w:val="00E27781"/>
    <w:rsid w:val="00E27C13"/>
    <w:rsid w:val="00E316D6"/>
    <w:rsid w:val="00E337A1"/>
    <w:rsid w:val="00E337C5"/>
    <w:rsid w:val="00E344C6"/>
    <w:rsid w:val="00E34958"/>
    <w:rsid w:val="00E3622A"/>
    <w:rsid w:val="00E375BE"/>
    <w:rsid w:val="00E40941"/>
    <w:rsid w:val="00E431E6"/>
    <w:rsid w:val="00E45599"/>
    <w:rsid w:val="00E4654B"/>
    <w:rsid w:val="00E46E60"/>
    <w:rsid w:val="00E51C38"/>
    <w:rsid w:val="00E55D80"/>
    <w:rsid w:val="00E56D6D"/>
    <w:rsid w:val="00E56DA4"/>
    <w:rsid w:val="00E57025"/>
    <w:rsid w:val="00E571F0"/>
    <w:rsid w:val="00E6036A"/>
    <w:rsid w:val="00E60398"/>
    <w:rsid w:val="00E608A6"/>
    <w:rsid w:val="00E664DC"/>
    <w:rsid w:val="00E6770B"/>
    <w:rsid w:val="00E7229B"/>
    <w:rsid w:val="00E75330"/>
    <w:rsid w:val="00E755BA"/>
    <w:rsid w:val="00E75620"/>
    <w:rsid w:val="00E75D03"/>
    <w:rsid w:val="00E75D0D"/>
    <w:rsid w:val="00E76F50"/>
    <w:rsid w:val="00E7710B"/>
    <w:rsid w:val="00E7715F"/>
    <w:rsid w:val="00E807AE"/>
    <w:rsid w:val="00E8388C"/>
    <w:rsid w:val="00E83FE8"/>
    <w:rsid w:val="00E84C1A"/>
    <w:rsid w:val="00E9042A"/>
    <w:rsid w:val="00E91CF0"/>
    <w:rsid w:val="00E930D1"/>
    <w:rsid w:val="00E933D6"/>
    <w:rsid w:val="00E93647"/>
    <w:rsid w:val="00E93AC4"/>
    <w:rsid w:val="00E95091"/>
    <w:rsid w:val="00E9574A"/>
    <w:rsid w:val="00E96C74"/>
    <w:rsid w:val="00E97161"/>
    <w:rsid w:val="00EA1979"/>
    <w:rsid w:val="00EA5914"/>
    <w:rsid w:val="00EA6B9C"/>
    <w:rsid w:val="00EB0581"/>
    <w:rsid w:val="00EB2A9C"/>
    <w:rsid w:val="00EB4D7A"/>
    <w:rsid w:val="00EB6397"/>
    <w:rsid w:val="00EB705B"/>
    <w:rsid w:val="00EB7EAA"/>
    <w:rsid w:val="00EC27C6"/>
    <w:rsid w:val="00EC3CCB"/>
    <w:rsid w:val="00EC40DC"/>
    <w:rsid w:val="00ED048A"/>
    <w:rsid w:val="00ED3BC6"/>
    <w:rsid w:val="00ED487E"/>
    <w:rsid w:val="00ED6572"/>
    <w:rsid w:val="00ED6699"/>
    <w:rsid w:val="00ED7579"/>
    <w:rsid w:val="00EE202E"/>
    <w:rsid w:val="00EE476B"/>
    <w:rsid w:val="00EE65CA"/>
    <w:rsid w:val="00EE6BF6"/>
    <w:rsid w:val="00EE7962"/>
    <w:rsid w:val="00EF330A"/>
    <w:rsid w:val="00EF3342"/>
    <w:rsid w:val="00EF3FC0"/>
    <w:rsid w:val="00EF56E1"/>
    <w:rsid w:val="00EF56F4"/>
    <w:rsid w:val="00EF69AC"/>
    <w:rsid w:val="00EF6E56"/>
    <w:rsid w:val="00F003FE"/>
    <w:rsid w:val="00F01EF4"/>
    <w:rsid w:val="00F0533B"/>
    <w:rsid w:val="00F05D1D"/>
    <w:rsid w:val="00F0777D"/>
    <w:rsid w:val="00F07EFC"/>
    <w:rsid w:val="00F10BC0"/>
    <w:rsid w:val="00F10CBE"/>
    <w:rsid w:val="00F119F7"/>
    <w:rsid w:val="00F12EE6"/>
    <w:rsid w:val="00F14AE5"/>
    <w:rsid w:val="00F15885"/>
    <w:rsid w:val="00F1707A"/>
    <w:rsid w:val="00F170D9"/>
    <w:rsid w:val="00F21C69"/>
    <w:rsid w:val="00F22BB6"/>
    <w:rsid w:val="00F23B1F"/>
    <w:rsid w:val="00F2727E"/>
    <w:rsid w:val="00F27696"/>
    <w:rsid w:val="00F2795C"/>
    <w:rsid w:val="00F303A3"/>
    <w:rsid w:val="00F3232D"/>
    <w:rsid w:val="00F3429E"/>
    <w:rsid w:val="00F349D3"/>
    <w:rsid w:val="00F35422"/>
    <w:rsid w:val="00F377DF"/>
    <w:rsid w:val="00F41218"/>
    <w:rsid w:val="00F4209C"/>
    <w:rsid w:val="00F44897"/>
    <w:rsid w:val="00F448EC"/>
    <w:rsid w:val="00F44F4E"/>
    <w:rsid w:val="00F4612B"/>
    <w:rsid w:val="00F46458"/>
    <w:rsid w:val="00F479F9"/>
    <w:rsid w:val="00F55B66"/>
    <w:rsid w:val="00F61B91"/>
    <w:rsid w:val="00F62937"/>
    <w:rsid w:val="00F643AD"/>
    <w:rsid w:val="00F6476D"/>
    <w:rsid w:val="00F6508B"/>
    <w:rsid w:val="00F65122"/>
    <w:rsid w:val="00F739F0"/>
    <w:rsid w:val="00F74437"/>
    <w:rsid w:val="00F75FA2"/>
    <w:rsid w:val="00F779D5"/>
    <w:rsid w:val="00F82851"/>
    <w:rsid w:val="00F8319D"/>
    <w:rsid w:val="00F840CD"/>
    <w:rsid w:val="00F85993"/>
    <w:rsid w:val="00F85A02"/>
    <w:rsid w:val="00F86F3B"/>
    <w:rsid w:val="00F92D7B"/>
    <w:rsid w:val="00F9359A"/>
    <w:rsid w:val="00F93C17"/>
    <w:rsid w:val="00F94757"/>
    <w:rsid w:val="00F96231"/>
    <w:rsid w:val="00F9645B"/>
    <w:rsid w:val="00F96C73"/>
    <w:rsid w:val="00F97C95"/>
    <w:rsid w:val="00FA01D2"/>
    <w:rsid w:val="00FA1E37"/>
    <w:rsid w:val="00FA2545"/>
    <w:rsid w:val="00FA2BD2"/>
    <w:rsid w:val="00FA4E14"/>
    <w:rsid w:val="00FB04AE"/>
    <w:rsid w:val="00FB20AD"/>
    <w:rsid w:val="00FB26F2"/>
    <w:rsid w:val="00FB2F99"/>
    <w:rsid w:val="00FB4580"/>
    <w:rsid w:val="00FB5796"/>
    <w:rsid w:val="00FB5DF5"/>
    <w:rsid w:val="00FB6532"/>
    <w:rsid w:val="00FB7C9E"/>
    <w:rsid w:val="00FC34F9"/>
    <w:rsid w:val="00FC4339"/>
    <w:rsid w:val="00FC44DF"/>
    <w:rsid w:val="00FC5E33"/>
    <w:rsid w:val="00FC6618"/>
    <w:rsid w:val="00FD06F5"/>
    <w:rsid w:val="00FD124A"/>
    <w:rsid w:val="00FD232D"/>
    <w:rsid w:val="00FD2AD5"/>
    <w:rsid w:val="00FD3F5A"/>
    <w:rsid w:val="00FD4214"/>
    <w:rsid w:val="00FD4A51"/>
    <w:rsid w:val="00FD66CF"/>
    <w:rsid w:val="00FD6CF0"/>
    <w:rsid w:val="00FE3459"/>
    <w:rsid w:val="00FE4890"/>
    <w:rsid w:val="00FE491B"/>
    <w:rsid w:val="00FE513C"/>
    <w:rsid w:val="00FE5487"/>
    <w:rsid w:val="00FE595F"/>
    <w:rsid w:val="00FE717E"/>
    <w:rsid w:val="00FE7CE6"/>
    <w:rsid w:val="00FF3AB1"/>
    <w:rsid w:val="00FF6D76"/>
    <w:rsid w:val="00FF6F2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F8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AA7"/>
    <w:pPr>
      <w:keepNext/>
      <w:spacing w:before="800" w:beforeAutospacing="0" w:after="360" w:afterAutospacing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3E13"/>
    <w:pPr>
      <w:keepNext/>
      <w:spacing w:after="120" w:afterAutospacing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7AA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927285"/>
    <w:pPr>
      <w:autoSpaceDE w:val="0"/>
      <w:autoSpaceDN w:val="0"/>
      <w:adjustRightInd w:val="0"/>
      <w:spacing w:before="120" w:after="100" w:afterAutospacing="1" w:line="276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49F8"/>
    <w:pPr>
      <w:numPr>
        <w:ilvl w:val="2"/>
        <w:numId w:val="2"/>
      </w:numPr>
      <w:spacing w:before="360" w:beforeAutospacing="0" w:after="120" w:afterAutospacing="0"/>
      <w:jc w:val="both"/>
    </w:pPr>
  </w:style>
  <w:style w:type="paragraph" w:styleId="Bezodstpw">
    <w:name w:val="No Spacing"/>
    <w:uiPriority w:val="1"/>
    <w:qFormat/>
    <w:rsid w:val="006D77DC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3E13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nhideWhenUsed/>
    <w:rsid w:val="006E3E13"/>
    <w:pPr>
      <w:spacing w:before="0" w:beforeAutospacing="0" w:after="0" w:afterAutospacing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rsid w:val="006E3E13"/>
    <w:rPr>
      <w:sz w:val="16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line="240" w:lineRule="auto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CAC"/>
    <w:pPr>
      <w:tabs>
        <w:tab w:val="left" w:pos="660"/>
        <w:tab w:val="right" w:leader="dot" w:pos="8656"/>
      </w:tabs>
      <w:spacing w:before="40" w:beforeAutospacing="0" w:after="40" w:afterAutospacing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1B49F8"/>
    <w:rPr>
      <w:sz w:val="24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ADB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F0533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A9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34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D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D7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4F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07F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F8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AA7"/>
    <w:pPr>
      <w:keepNext/>
      <w:spacing w:before="800" w:beforeAutospacing="0" w:after="360" w:afterAutospacing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3E13"/>
    <w:pPr>
      <w:keepNext/>
      <w:spacing w:after="120" w:afterAutospacing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7AA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927285"/>
    <w:pPr>
      <w:autoSpaceDE w:val="0"/>
      <w:autoSpaceDN w:val="0"/>
      <w:adjustRightInd w:val="0"/>
      <w:spacing w:before="120" w:after="100" w:afterAutospacing="1" w:line="276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49F8"/>
    <w:pPr>
      <w:numPr>
        <w:ilvl w:val="2"/>
        <w:numId w:val="2"/>
      </w:numPr>
      <w:spacing w:before="360" w:beforeAutospacing="0" w:after="120" w:afterAutospacing="0"/>
      <w:jc w:val="both"/>
    </w:pPr>
  </w:style>
  <w:style w:type="paragraph" w:styleId="Bezodstpw">
    <w:name w:val="No Spacing"/>
    <w:uiPriority w:val="1"/>
    <w:qFormat/>
    <w:rsid w:val="006D77DC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3E13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nhideWhenUsed/>
    <w:rsid w:val="006E3E13"/>
    <w:pPr>
      <w:spacing w:before="0" w:beforeAutospacing="0" w:after="0" w:afterAutospacing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rsid w:val="006E3E13"/>
    <w:rPr>
      <w:sz w:val="16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line="240" w:lineRule="auto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CAC"/>
    <w:pPr>
      <w:tabs>
        <w:tab w:val="left" w:pos="660"/>
        <w:tab w:val="right" w:leader="dot" w:pos="8656"/>
      </w:tabs>
      <w:spacing w:before="40" w:beforeAutospacing="0" w:after="40" w:afterAutospacing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1B49F8"/>
    <w:rPr>
      <w:sz w:val="24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ADB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F0533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A9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34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D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D7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4F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07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2014-2020.rpo-swietokrzyskie.p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mir.gov.pl/strony/zadania/fundusze-europejskie/wytyczne/wytyczne-na-lata-2014-2020/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hyperlink" Target="http://mapy.isok.gov.pl/ima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apy.isok.gov.pl/imap/" TargetMode="External"/><Relationship Id="rId22" Type="http://schemas.openxmlformats.org/officeDocument/2006/relationships/hyperlink" Target="https://www.funduszeeuropejskie.gov.pl/strony/o%20-funduszach/dokumenty/podrecznik-wnioskodawcy-i-beneficjenta-programow-polityki-spojnosci-2014-2020-w-zakresie-informacji-i-promocji/" TargetMode="External"/><Relationship Id="rId2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pwdl.csioz.gov.pl/RPM/Search" TargetMode="External"/><Relationship Id="rId2" Type="http://schemas.openxmlformats.org/officeDocument/2006/relationships/hyperlink" Target="https://rpwdl.csioz.gov.pl/RPM/Search" TargetMode="External"/><Relationship Id="rId1" Type="http://schemas.openxmlformats.org/officeDocument/2006/relationships/hyperlink" Target="http://www.nbp.pl/home.aspx?f=/kursy/kursy_archiwu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67B0-D676-4436-B8D9-6DC7A357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76</Pages>
  <Words>22761</Words>
  <Characters>136566</Characters>
  <Application>Microsoft Office Word</Application>
  <DocSecurity>0</DocSecurity>
  <Lines>1138</Lines>
  <Paragraphs>318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159009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Kaziur, Aleksandra</cp:lastModifiedBy>
  <cp:revision>12</cp:revision>
  <cp:lastPrinted>2019-05-27T06:10:00Z</cp:lastPrinted>
  <dcterms:created xsi:type="dcterms:W3CDTF">2019-10-04T08:32:00Z</dcterms:created>
  <dcterms:modified xsi:type="dcterms:W3CDTF">2019-10-04T09:07:00Z</dcterms:modified>
</cp:coreProperties>
</file>