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3075"/>
        <w:gridCol w:w="2024"/>
        <w:gridCol w:w="3785"/>
      </w:tblGrid>
      <w:tr w:rsidR="00B2260A" w:rsidRPr="003D1801" w:rsidTr="004A1380">
        <w:trPr>
          <w:jc w:val="center"/>
        </w:trPr>
        <w:tc>
          <w:tcPr>
            <w:tcW w:w="3382" w:type="dxa"/>
          </w:tcPr>
          <w:p w:rsidR="00B2260A" w:rsidRPr="003D1801" w:rsidRDefault="00557320"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768350"/>
                          </a:xfrm>
                          <a:prstGeom prst="rect">
                            <a:avLst/>
                          </a:prstGeom>
                          <a:noFill/>
                          <a:ln>
                            <a:noFill/>
                          </a:ln>
                        </pic:spPr>
                      </pic:pic>
                    </a:graphicData>
                  </a:graphic>
                </wp:inline>
              </w:drawing>
            </w:r>
          </w:p>
        </w:tc>
        <w:tc>
          <w:tcPr>
            <w:tcW w:w="1580" w:type="dxa"/>
          </w:tcPr>
          <w:p w:rsidR="00B2260A" w:rsidRPr="003D1801" w:rsidRDefault="00557320"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535305"/>
                          </a:xfrm>
                          <a:prstGeom prst="rect">
                            <a:avLst/>
                          </a:prstGeom>
                          <a:noFill/>
                          <a:ln>
                            <a:noFill/>
                          </a:ln>
                        </pic:spPr>
                      </pic:pic>
                    </a:graphicData>
                  </a:graphic>
                </wp:inline>
              </w:drawing>
            </w:r>
          </w:p>
        </w:tc>
        <w:tc>
          <w:tcPr>
            <w:tcW w:w="3922" w:type="dxa"/>
          </w:tcPr>
          <w:p w:rsidR="00B2260A" w:rsidRPr="003D1801" w:rsidRDefault="00557320"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8370" cy="768350"/>
                          </a:xfrm>
                          <a:prstGeom prst="rect">
                            <a:avLst/>
                          </a:prstGeom>
                          <a:noFill/>
                          <a:ln>
                            <a:noFill/>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557320"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0" t="0" r="3175" b="0"/>
            <wp:docPr id="4" name="Obraz 3" descr="Tło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ło 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3625" cy="4231640"/>
                    </a:xfrm>
                    <a:prstGeom prst="rect">
                      <a:avLst/>
                    </a:prstGeom>
                    <a:noFill/>
                    <a:ln>
                      <a:noFill/>
                    </a:ln>
                  </pic:spPr>
                </pic:pic>
              </a:graphicData>
            </a:graphic>
          </wp:inline>
        </w:drawing>
      </w:r>
    </w:p>
    <w:p w:rsidR="00B2260A" w:rsidRDefault="00B2260A" w:rsidP="0028357C">
      <w:pPr>
        <w:jc w:val="center"/>
        <w:rPr>
          <w:rFonts w:ascii="Arial" w:hAnsi="Arial" w:cs="Arial"/>
          <w:sz w:val="20"/>
          <w:szCs w:val="20"/>
        </w:rPr>
      </w:pPr>
    </w:p>
    <w:p w:rsidR="0028357C" w:rsidRDefault="008E69B2" w:rsidP="0028357C">
      <w:pPr>
        <w:jc w:val="center"/>
        <w:rPr>
          <w:rFonts w:ascii="Arial" w:hAnsi="Arial" w:cs="Arial"/>
          <w:sz w:val="20"/>
          <w:szCs w:val="20"/>
        </w:rPr>
      </w:pPr>
      <w:r>
        <w:rPr>
          <w:rFonts w:ascii="Arial" w:hAnsi="Arial" w:cs="Arial"/>
          <w:sz w:val="20"/>
          <w:szCs w:val="20"/>
        </w:rPr>
        <w:t xml:space="preserve">Kielce, </w:t>
      </w:r>
      <w:r w:rsidR="00AB0D69">
        <w:rPr>
          <w:rFonts w:ascii="Arial" w:hAnsi="Arial" w:cs="Arial"/>
          <w:sz w:val="20"/>
          <w:szCs w:val="20"/>
        </w:rPr>
        <w:t>sierpień</w:t>
      </w:r>
      <w:r w:rsidR="00D96699">
        <w:rPr>
          <w:rFonts w:ascii="Arial" w:hAnsi="Arial" w:cs="Arial"/>
          <w:sz w:val="20"/>
          <w:szCs w:val="20"/>
        </w:rPr>
        <w:t xml:space="preserve"> 2018</w:t>
      </w:r>
      <w:r w:rsidR="0028357C" w:rsidRPr="00B2260A">
        <w:rPr>
          <w:rFonts w:ascii="Arial" w:hAnsi="Arial" w:cs="Arial"/>
          <w:sz w:val="20"/>
          <w:szCs w:val="20"/>
        </w:rPr>
        <w:t xml:space="preserve"> </w:t>
      </w:r>
    </w:p>
    <w:p w:rsidR="00043312" w:rsidRDefault="00043312">
      <w:pPr>
        <w:pStyle w:val="Nagwekspisutreci"/>
      </w:pPr>
      <w:r>
        <w:t>Zawartość</w:t>
      </w:r>
    </w:p>
    <w:p w:rsidR="00043312" w:rsidRPr="00043312" w:rsidRDefault="00043312" w:rsidP="00043312"/>
    <w:p w:rsidR="00AB0D69" w:rsidRDefault="00993140">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522009724" w:history="1">
        <w:r w:rsidR="00AB0D69" w:rsidRPr="00F924DB">
          <w:rPr>
            <w:rStyle w:val="Hipercze"/>
            <w:noProof/>
          </w:rPr>
          <w:t>Wstęp</w:t>
        </w:r>
        <w:r w:rsidR="00AB0D69">
          <w:rPr>
            <w:noProof/>
            <w:webHidden/>
          </w:rPr>
          <w:tab/>
        </w:r>
        <w:r w:rsidR="00AB0D69">
          <w:rPr>
            <w:noProof/>
            <w:webHidden/>
          </w:rPr>
          <w:fldChar w:fldCharType="begin"/>
        </w:r>
        <w:r w:rsidR="00AB0D69">
          <w:rPr>
            <w:noProof/>
            <w:webHidden/>
          </w:rPr>
          <w:instrText xml:space="preserve"> PAGEREF _Toc522009724 \h </w:instrText>
        </w:r>
        <w:r w:rsidR="00AB0D69">
          <w:rPr>
            <w:noProof/>
            <w:webHidden/>
          </w:rPr>
        </w:r>
        <w:r w:rsidR="00AB0D69">
          <w:rPr>
            <w:noProof/>
            <w:webHidden/>
          </w:rPr>
          <w:fldChar w:fldCharType="separate"/>
        </w:r>
        <w:r w:rsidR="00AB0D69">
          <w:rPr>
            <w:noProof/>
            <w:webHidden/>
          </w:rPr>
          <w:t>4</w:t>
        </w:r>
        <w:r w:rsidR="00AB0D69">
          <w:rPr>
            <w:noProof/>
            <w:webHidden/>
          </w:rPr>
          <w:fldChar w:fldCharType="end"/>
        </w:r>
      </w:hyperlink>
    </w:p>
    <w:p w:rsidR="00AB0D69" w:rsidRDefault="00AB0D69">
      <w:pPr>
        <w:pStyle w:val="Spistreci1"/>
        <w:tabs>
          <w:tab w:val="right" w:leader="dot" w:pos="10456"/>
        </w:tabs>
        <w:rPr>
          <w:rFonts w:asciiTheme="minorHAnsi" w:eastAsiaTheme="minorEastAsia" w:hAnsiTheme="minorHAnsi" w:cstheme="minorBidi"/>
          <w:noProof/>
          <w:lang w:eastAsia="pl-PL"/>
        </w:rPr>
      </w:pPr>
      <w:hyperlink w:anchor="_Toc522009725" w:history="1">
        <w:r w:rsidRPr="00F924DB">
          <w:rPr>
            <w:rStyle w:val="Hipercze"/>
            <w:noProof/>
          </w:rPr>
          <w:t>Słownik pojęć i skrótów</w:t>
        </w:r>
        <w:r>
          <w:rPr>
            <w:noProof/>
            <w:webHidden/>
          </w:rPr>
          <w:tab/>
        </w:r>
        <w:r>
          <w:rPr>
            <w:noProof/>
            <w:webHidden/>
          </w:rPr>
          <w:fldChar w:fldCharType="begin"/>
        </w:r>
        <w:r>
          <w:rPr>
            <w:noProof/>
            <w:webHidden/>
          </w:rPr>
          <w:instrText xml:space="preserve"> PAGEREF _Toc522009725 \h </w:instrText>
        </w:r>
        <w:r>
          <w:rPr>
            <w:noProof/>
            <w:webHidden/>
          </w:rPr>
        </w:r>
        <w:r>
          <w:rPr>
            <w:noProof/>
            <w:webHidden/>
          </w:rPr>
          <w:fldChar w:fldCharType="separate"/>
        </w:r>
        <w:r>
          <w:rPr>
            <w:noProof/>
            <w:webHidden/>
          </w:rPr>
          <w:t>6</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26" w:history="1">
        <w:r w:rsidRPr="00F924DB">
          <w:rPr>
            <w:rStyle w:val="Hipercze"/>
            <w:noProof/>
          </w:rPr>
          <w:t>1.</w:t>
        </w:r>
        <w:r>
          <w:rPr>
            <w:rFonts w:asciiTheme="minorHAnsi" w:eastAsiaTheme="minorEastAsia" w:hAnsiTheme="minorHAnsi" w:cstheme="minorBidi"/>
            <w:noProof/>
            <w:lang w:eastAsia="pl-PL"/>
          </w:rPr>
          <w:tab/>
        </w:r>
        <w:r w:rsidRPr="00F924DB">
          <w:rPr>
            <w:rStyle w:val="Hipercze"/>
            <w:noProof/>
          </w:rPr>
          <w:t>Identyfikacja projektu</w:t>
        </w:r>
        <w:r>
          <w:rPr>
            <w:noProof/>
            <w:webHidden/>
          </w:rPr>
          <w:tab/>
        </w:r>
        <w:r>
          <w:rPr>
            <w:noProof/>
            <w:webHidden/>
          </w:rPr>
          <w:fldChar w:fldCharType="begin"/>
        </w:r>
        <w:r>
          <w:rPr>
            <w:noProof/>
            <w:webHidden/>
          </w:rPr>
          <w:instrText xml:space="preserve"> PAGEREF _Toc522009726 \h </w:instrText>
        </w:r>
        <w:r>
          <w:rPr>
            <w:noProof/>
            <w:webHidden/>
          </w:rPr>
        </w:r>
        <w:r>
          <w:rPr>
            <w:noProof/>
            <w:webHidden/>
          </w:rPr>
          <w:fldChar w:fldCharType="separate"/>
        </w:r>
        <w:r>
          <w:rPr>
            <w:noProof/>
            <w:webHidden/>
          </w:rPr>
          <w:t>16</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27" w:history="1">
        <w:r w:rsidRPr="00F924DB">
          <w:rPr>
            <w:rStyle w:val="Hipercze"/>
            <w:noProof/>
          </w:rPr>
          <w:t>1.1.</w:t>
        </w:r>
        <w:r>
          <w:rPr>
            <w:rFonts w:asciiTheme="minorHAnsi" w:eastAsiaTheme="minorEastAsia" w:hAnsiTheme="minorHAnsi" w:cstheme="minorBidi"/>
            <w:noProof/>
            <w:lang w:eastAsia="pl-PL"/>
          </w:rPr>
          <w:tab/>
        </w:r>
        <w:r w:rsidRPr="00F924DB">
          <w:rPr>
            <w:rStyle w:val="Hipercze"/>
            <w:noProof/>
          </w:rPr>
          <w:t>Podstawowe dane o projekcie</w:t>
        </w:r>
        <w:r>
          <w:rPr>
            <w:noProof/>
            <w:webHidden/>
          </w:rPr>
          <w:tab/>
        </w:r>
        <w:r>
          <w:rPr>
            <w:noProof/>
            <w:webHidden/>
          </w:rPr>
          <w:fldChar w:fldCharType="begin"/>
        </w:r>
        <w:r>
          <w:rPr>
            <w:noProof/>
            <w:webHidden/>
          </w:rPr>
          <w:instrText xml:space="preserve"> PAGEREF _Toc522009727 \h </w:instrText>
        </w:r>
        <w:r>
          <w:rPr>
            <w:noProof/>
            <w:webHidden/>
          </w:rPr>
        </w:r>
        <w:r>
          <w:rPr>
            <w:noProof/>
            <w:webHidden/>
          </w:rPr>
          <w:fldChar w:fldCharType="separate"/>
        </w:r>
        <w:r>
          <w:rPr>
            <w:noProof/>
            <w:webHidden/>
          </w:rPr>
          <w:t>16</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28" w:history="1">
        <w:r w:rsidRPr="00F924DB">
          <w:rPr>
            <w:rStyle w:val="Hipercze"/>
            <w:noProof/>
          </w:rPr>
          <w:t>1.2.</w:t>
        </w:r>
        <w:r>
          <w:rPr>
            <w:rFonts w:asciiTheme="minorHAnsi" w:eastAsiaTheme="minorEastAsia" w:hAnsiTheme="minorHAnsi" w:cstheme="minorBidi"/>
            <w:noProof/>
            <w:lang w:eastAsia="pl-PL"/>
          </w:rPr>
          <w:tab/>
        </w:r>
        <w:r w:rsidRPr="00F924DB">
          <w:rPr>
            <w:rStyle w:val="Hipercze"/>
            <w:noProof/>
          </w:rPr>
          <w:t>Opis stanu aktualnego (przed realizacją)</w:t>
        </w:r>
        <w:r>
          <w:rPr>
            <w:noProof/>
            <w:webHidden/>
          </w:rPr>
          <w:tab/>
        </w:r>
        <w:r>
          <w:rPr>
            <w:noProof/>
            <w:webHidden/>
          </w:rPr>
          <w:fldChar w:fldCharType="begin"/>
        </w:r>
        <w:r>
          <w:rPr>
            <w:noProof/>
            <w:webHidden/>
          </w:rPr>
          <w:instrText xml:space="preserve"> PAGEREF _Toc522009728 \h </w:instrText>
        </w:r>
        <w:r>
          <w:rPr>
            <w:noProof/>
            <w:webHidden/>
          </w:rPr>
        </w:r>
        <w:r>
          <w:rPr>
            <w:noProof/>
            <w:webHidden/>
          </w:rPr>
          <w:fldChar w:fldCharType="separate"/>
        </w:r>
        <w:r>
          <w:rPr>
            <w:noProof/>
            <w:webHidden/>
          </w:rPr>
          <w:t>17</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29" w:history="1">
        <w:r w:rsidRPr="00F924DB">
          <w:rPr>
            <w:rStyle w:val="Hipercze"/>
            <w:rFonts w:eastAsia="ArialNarrow,Bold"/>
            <w:noProof/>
          </w:rPr>
          <w:t>1.3.</w:t>
        </w:r>
        <w:r>
          <w:rPr>
            <w:rFonts w:asciiTheme="minorHAnsi" w:eastAsiaTheme="minorEastAsia" w:hAnsiTheme="minorHAnsi" w:cstheme="minorBidi"/>
            <w:noProof/>
            <w:lang w:eastAsia="pl-PL"/>
          </w:rPr>
          <w:tab/>
        </w:r>
        <w:r w:rsidRPr="00F924DB">
          <w:rPr>
            <w:rStyle w:val="Hipercze"/>
            <w:rFonts w:eastAsia="ArialNarrow,Bold"/>
            <w:noProof/>
          </w:rPr>
          <w:t>Opis stanu projektowanego</w:t>
        </w:r>
        <w:r>
          <w:rPr>
            <w:noProof/>
            <w:webHidden/>
          </w:rPr>
          <w:tab/>
        </w:r>
        <w:r>
          <w:rPr>
            <w:noProof/>
            <w:webHidden/>
          </w:rPr>
          <w:fldChar w:fldCharType="begin"/>
        </w:r>
        <w:r>
          <w:rPr>
            <w:noProof/>
            <w:webHidden/>
          </w:rPr>
          <w:instrText xml:space="preserve"> PAGEREF _Toc522009729 \h </w:instrText>
        </w:r>
        <w:r>
          <w:rPr>
            <w:noProof/>
            <w:webHidden/>
          </w:rPr>
        </w:r>
        <w:r>
          <w:rPr>
            <w:noProof/>
            <w:webHidden/>
          </w:rPr>
          <w:fldChar w:fldCharType="separate"/>
        </w:r>
        <w:r>
          <w:rPr>
            <w:noProof/>
            <w:webHidden/>
          </w:rPr>
          <w:t>17</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30" w:history="1">
        <w:r w:rsidRPr="00F924DB">
          <w:rPr>
            <w:rStyle w:val="Hipercze"/>
            <w:noProof/>
          </w:rPr>
          <w:t>1.4.</w:t>
        </w:r>
        <w:r>
          <w:rPr>
            <w:rFonts w:asciiTheme="minorHAnsi" w:eastAsiaTheme="minorEastAsia" w:hAnsiTheme="minorHAnsi" w:cstheme="minorBidi"/>
            <w:noProof/>
            <w:lang w:eastAsia="pl-PL"/>
          </w:rPr>
          <w:tab/>
        </w:r>
        <w:r w:rsidRPr="00F924DB">
          <w:rPr>
            <w:rStyle w:val="Hipercze"/>
            <w:noProof/>
          </w:rPr>
          <w:t>Lokalizacja projektu</w:t>
        </w:r>
        <w:r>
          <w:rPr>
            <w:noProof/>
            <w:webHidden/>
          </w:rPr>
          <w:tab/>
        </w:r>
        <w:r>
          <w:rPr>
            <w:noProof/>
            <w:webHidden/>
          </w:rPr>
          <w:fldChar w:fldCharType="begin"/>
        </w:r>
        <w:r>
          <w:rPr>
            <w:noProof/>
            <w:webHidden/>
          </w:rPr>
          <w:instrText xml:space="preserve"> PAGEREF _Toc522009730 \h </w:instrText>
        </w:r>
        <w:r>
          <w:rPr>
            <w:noProof/>
            <w:webHidden/>
          </w:rPr>
        </w:r>
        <w:r>
          <w:rPr>
            <w:noProof/>
            <w:webHidden/>
          </w:rPr>
          <w:fldChar w:fldCharType="separate"/>
        </w:r>
        <w:r>
          <w:rPr>
            <w:noProof/>
            <w:webHidden/>
          </w:rPr>
          <w:t>19</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31" w:history="1">
        <w:r w:rsidRPr="00F924DB">
          <w:rPr>
            <w:rStyle w:val="Hipercze"/>
            <w:rFonts w:eastAsia="ArialNarrow,Bold"/>
            <w:noProof/>
          </w:rPr>
          <w:t>1.5.</w:t>
        </w:r>
        <w:r>
          <w:rPr>
            <w:rFonts w:asciiTheme="minorHAnsi" w:eastAsiaTheme="minorEastAsia" w:hAnsiTheme="minorHAnsi" w:cstheme="minorBidi"/>
            <w:noProof/>
            <w:lang w:eastAsia="pl-PL"/>
          </w:rPr>
          <w:tab/>
        </w:r>
        <w:r w:rsidRPr="00F924DB">
          <w:rPr>
            <w:rStyle w:val="Hipercze"/>
            <w:rFonts w:eastAsia="ArialNarrow,Bold"/>
            <w:noProof/>
          </w:rPr>
          <w:t>Analiza pomocy publicznej</w:t>
        </w:r>
        <w:r>
          <w:rPr>
            <w:noProof/>
            <w:webHidden/>
          </w:rPr>
          <w:tab/>
        </w:r>
        <w:r>
          <w:rPr>
            <w:noProof/>
            <w:webHidden/>
          </w:rPr>
          <w:fldChar w:fldCharType="begin"/>
        </w:r>
        <w:r>
          <w:rPr>
            <w:noProof/>
            <w:webHidden/>
          </w:rPr>
          <w:instrText xml:space="preserve"> PAGEREF _Toc522009731 \h </w:instrText>
        </w:r>
        <w:r>
          <w:rPr>
            <w:noProof/>
            <w:webHidden/>
          </w:rPr>
        </w:r>
        <w:r>
          <w:rPr>
            <w:noProof/>
            <w:webHidden/>
          </w:rPr>
          <w:fldChar w:fldCharType="separate"/>
        </w:r>
        <w:r>
          <w:rPr>
            <w:noProof/>
            <w:webHidden/>
          </w:rPr>
          <w:t>19</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32" w:history="1">
        <w:r w:rsidRPr="00F924DB">
          <w:rPr>
            <w:rStyle w:val="Hipercze"/>
            <w:noProof/>
          </w:rPr>
          <w:t>2.</w:t>
        </w:r>
        <w:r>
          <w:rPr>
            <w:rFonts w:asciiTheme="minorHAnsi" w:eastAsiaTheme="minorEastAsia" w:hAnsiTheme="minorHAnsi" w:cstheme="minorBidi"/>
            <w:noProof/>
            <w:lang w:eastAsia="pl-PL"/>
          </w:rPr>
          <w:tab/>
        </w:r>
        <w:r w:rsidRPr="00F924DB">
          <w:rPr>
            <w:rStyle w:val="Hipercze"/>
            <w:noProof/>
          </w:rPr>
          <w:t>Definicja celów projektu</w:t>
        </w:r>
        <w:r>
          <w:rPr>
            <w:noProof/>
            <w:webHidden/>
          </w:rPr>
          <w:tab/>
        </w:r>
        <w:r>
          <w:rPr>
            <w:noProof/>
            <w:webHidden/>
          </w:rPr>
          <w:fldChar w:fldCharType="begin"/>
        </w:r>
        <w:r>
          <w:rPr>
            <w:noProof/>
            <w:webHidden/>
          </w:rPr>
          <w:instrText xml:space="preserve"> PAGEREF _Toc522009732 \h </w:instrText>
        </w:r>
        <w:r>
          <w:rPr>
            <w:noProof/>
            <w:webHidden/>
          </w:rPr>
        </w:r>
        <w:r>
          <w:rPr>
            <w:noProof/>
            <w:webHidden/>
          </w:rPr>
          <w:fldChar w:fldCharType="separate"/>
        </w:r>
        <w:r>
          <w:rPr>
            <w:noProof/>
            <w:webHidden/>
          </w:rPr>
          <w:t>20</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33" w:history="1">
        <w:r w:rsidRPr="00F924DB">
          <w:rPr>
            <w:rStyle w:val="Hipercze"/>
            <w:noProof/>
          </w:rPr>
          <w:t>2.1.</w:t>
        </w:r>
        <w:r>
          <w:rPr>
            <w:rFonts w:asciiTheme="minorHAnsi" w:eastAsiaTheme="minorEastAsia" w:hAnsiTheme="minorHAnsi" w:cstheme="minorBidi"/>
            <w:noProof/>
            <w:lang w:eastAsia="pl-PL"/>
          </w:rPr>
          <w:tab/>
        </w:r>
        <w:r w:rsidRPr="00F924DB">
          <w:rPr>
            <w:rStyle w:val="Hipercze"/>
            <w:noProof/>
          </w:rPr>
          <w:t>Wskaźniki realizacji celów projektu</w:t>
        </w:r>
        <w:r>
          <w:rPr>
            <w:noProof/>
            <w:webHidden/>
          </w:rPr>
          <w:tab/>
        </w:r>
        <w:r>
          <w:rPr>
            <w:noProof/>
            <w:webHidden/>
          </w:rPr>
          <w:fldChar w:fldCharType="begin"/>
        </w:r>
        <w:r>
          <w:rPr>
            <w:noProof/>
            <w:webHidden/>
          </w:rPr>
          <w:instrText xml:space="preserve"> PAGEREF _Toc522009733 \h </w:instrText>
        </w:r>
        <w:r>
          <w:rPr>
            <w:noProof/>
            <w:webHidden/>
          </w:rPr>
        </w:r>
        <w:r>
          <w:rPr>
            <w:noProof/>
            <w:webHidden/>
          </w:rPr>
          <w:fldChar w:fldCharType="separate"/>
        </w:r>
        <w:r>
          <w:rPr>
            <w:noProof/>
            <w:webHidden/>
          </w:rPr>
          <w:t>21</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34" w:history="1">
        <w:r w:rsidRPr="00F924DB">
          <w:rPr>
            <w:rStyle w:val="Hipercze"/>
            <w:rFonts w:cs="Arial"/>
            <w:noProof/>
          </w:rPr>
          <w:t>3.</w:t>
        </w:r>
        <w:r>
          <w:rPr>
            <w:rFonts w:asciiTheme="minorHAnsi" w:eastAsiaTheme="minorEastAsia" w:hAnsiTheme="minorHAnsi" w:cstheme="minorBidi"/>
            <w:noProof/>
            <w:lang w:eastAsia="pl-PL"/>
          </w:rPr>
          <w:tab/>
        </w:r>
        <w:r w:rsidRPr="00F924DB">
          <w:rPr>
            <w:rStyle w:val="Hipercze"/>
            <w:noProof/>
          </w:rPr>
          <w:t>Komplementarność i spójność projektu z innymi przedsięwzięciami oraz zgodność z innymi programami, strategiami branżowymi</w:t>
        </w:r>
        <w:r>
          <w:rPr>
            <w:noProof/>
            <w:webHidden/>
          </w:rPr>
          <w:tab/>
        </w:r>
        <w:r>
          <w:rPr>
            <w:noProof/>
            <w:webHidden/>
          </w:rPr>
          <w:fldChar w:fldCharType="begin"/>
        </w:r>
        <w:r>
          <w:rPr>
            <w:noProof/>
            <w:webHidden/>
          </w:rPr>
          <w:instrText xml:space="preserve"> PAGEREF _Toc522009734 \h </w:instrText>
        </w:r>
        <w:r>
          <w:rPr>
            <w:noProof/>
            <w:webHidden/>
          </w:rPr>
        </w:r>
        <w:r>
          <w:rPr>
            <w:noProof/>
            <w:webHidden/>
          </w:rPr>
          <w:fldChar w:fldCharType="separate"/>
        </w:r>
        <w:r>
          <w:rPr>
            <w:noProof/>
            <w:webHidden/>
          </w:rPr>
          <w:t>22</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35" w:history="1">
        <w:r w:rsidRPr="00F924DB">
          <w:rPr>
            <w:rStyle w:val="Hipercze"/>
            <w:noProof/>
          </w:rPr>
          <w:t>4.</w:t>
        </w:r>
        <w:r>
          <w:rPr>
            <w:rFonts w:asciiTheme="minorHAnsi" w:eastAsiaTheme="minorEastAsia" w:hAnsiTheme="minorHAnsi" w:cstheme="minorBidi"/>
            <w:noProof/>
            <w:lang w:eastAsia="pl-PL"/>
          </w:rPr>
          <w:tab/>
        </w:r>
        <w:r w:rsidRPr="00F924DB">
          <w:rPr>
            <w:rStyle w:val="Hipercze"/>
            <w:noProof/>
          </w:rPr>
          <w:t>Instytucjonalna i prawna wykonalność projektu</w:t>
        </w:r>
        <w:r>
          <w:rPr>
            <w:noProof/>
            <w:webHidden/>
          </w:rPr>
          <w:tab/>
        </w:r>
        <w:r>
          <w:rPr>
            <w:noProof/>
            <w:webHidden/>
          </w:rPr>
          <w:fldChar w:fldCharType="begin"/>
        </w:r>
        <w:r>
          <w:rPr>
            <w:noProof/>
            <w:webHidden/>
          </w:rPr>
          <w:instrText xml:space="preserve"> PAGEREF _Toc522009735 \h </w:instrText>
        </w:r>
        <w:r>
          <w:rPr>
            <w:noProof/>
            <w:webHidden/>
          </w:rPr>
        </w:r>
        <w:r>
          <w:rPr>
            <w:noProof/>
            <w:webHidden/>
          </w:rPr>
          <w:fldChar w:fldCharType="separate"/>
        </w:r>
        <w:r>
          <w:rPr>
            <w:noProof/>
            <w:webHidden/>
          </w:rPr>
          <w:t>23</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36" w:history="1">
        <w:r w:rsidRPr="00F924DB">
          <w:rPr>
            <w:rStyle w:val="Hipercze"/>
            <w:noProof/>
          </w:rPr>
          <w:t>4.1.</w:t>
        </w:r>
        <w:r>
          <w:rPr>
            <w:rFonts w:asciiTheme="minorHAnsi" w:eastAsiaTheme="minorEastAsia" w:hAnsiTheme="minorHAnsi" w:cstheme="minorBidi"/>
            <w:noProof/>
            <w:lang w:eastAsia="pl-PL"/>
          </w:rPr>
          <w:tab/>
        </w:r>
        <w:r w:rsidRPr="00F924DB">
          <w:rPr>
            <w:rStyle w:val="Hipercze"/>
            <w:noProof/>
          </w:rPr>
          <w:t>Analiza instytucjonalna</w:t>
        </w:r>
        <w:r>
          <w:rPr>
            <w:noProof/>
            <w:webHidden/>
          </w:rPr>
          <w:tab/>
        </w:r>
        <w:r>
          <w:rPr>
            <w:noProof/>
            <w:webHidden/>
          </w:rPr>
          <w:fldChar w:fldCharType="begin"/>
        </w:r>
        <w:r>
          <w:rPr>
            <w:noProof/>
            <w:webHidden/>
          </w:rPr>
          <w:instrText xml:space="preserve"> PAGEREF _Toc522009736 \h </w:instrText>
        </w:r>
        <w:r>
          <w:rPr>
            <w:noProof/>
            <w:webHidden/>
          </w:rPr>
        </w:r>
        <w:r>
          <w:rPr>
            <w:noProof/>
            <w:webHidden/>
          </w:rPr>
          <w:fldChar w:fldCharType="separate"/>
        </w:r>
        <w:r>
          <w:rPr>
            <w:noProof/>
            <w:webHidden/>
          </w:rPr>
          <w:t>23</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37" w:history="1">
        <w:r w:rsidRPr="00F924DB">
          <w:rPr>
            <w:rStyle w:val="Hipercze"/>
            <w:noProof/>
          </w:rPr>
          <w:t>4.2.</w:t>
        </w:r>
        <w:r>
          <w:rPr>
            <w:rFonts w:asciiTheme="minorHAnsi" w:eastAsiaTheme="minorEastAsia" w:hAnsiTheme="minorHAnsi" w:cstheme="minorBidi"/>
            <w:noProof/>
            <w:lang w:eastAsia="pl-PL"/>
          </w:rPr>
          <w:tab/>
        </w:r>
        <w:r w:rsidRPr="00F924DB">
          <w:rPr>
            <w:rStyle w:val="Hipercze"/>
            <w:noProof/>
          </w:rPr>
          <w:t>Analiza prawna</w:t>
        </w:r>
        <w:r>
          <w:rPr>
            <w:noProof/>
            <w:webHidden/>
          </w:rPr>
          <w:tab/>
        </w:r>
        <w:r>
          <w:rPr>
            <w:noProof/>
            <w:webHidden/>
          </w:rPr>
          <w:fldChar w:fldCharType="begin"/>
        </w:r>
        <w:r>
          <w:rPr>
            <w:noProof/>
            <w:webHidden/>
          </w:rPr>
          <w:instrText xml:space="preserve"> PAGEREF _Toc522009737 \h </w:instrText>
        </w:r>
        <w:r>
          <w:rPr>
            <w:noProof/>
            <w:webHidden/>
          </w:rPr>
        </w:r>
        <w:r>
          <w:rPr>
            <w:noProof/>
            <w:webHidden/>
          </w:rPr>
          <w:fldChar w:fldCharType="separate"/>
        </w:r>
        <w:r>
          <w:rPr>
            <w:noProof/>
            <w:webHidden/>
          </w:rPr>
          <w:t>23</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38" w:history="1">
        <w:r w:rsidRPr="00F924DB">
          <w:rPr>
            <w:rStyle w:val="Hipercze"/>
            <w:noProof/>
          </w:rPr>
          <w:t>4.3.</w:t>
        </w:r>
        <w:r>
          <w:rPr>
            <w:rFonts w:asciiTheme="minorHAnsi" w:eastAsiaTheme="minorEastAsia" w:hAnsiTheme="minorHAnsi" w:cstheme="minorBidi"/>
            <w:noProof/>
            <w:lang w:eastAsia="pl-PL"/>
          </w:rPr>
          <w:tab/>
        </w:r>
        <w:r w:rsidRPr="00F924DB">
          <w:rPr>
            <w:rStyle w:val="Hipercze"/>
            <w:noProof/>
          </w:rPr>
          <w:t>Analiza trwałości</w:t>
        </w:r>
        <w:r>
          <w:rPr>
            <w:noProof/>
            <w:webHidden/>
          </w:rPr>
          <w:tab/>
        </w:r>
        <w:r>
          <w:rPr>
            <w:noProof/>
            <w:webHidden/>
          </w:rPr>
          <w:fldChar w:fldCharType="begin"/>
        </w:r>
        <w:r>
          <w:rPr>
            <w:noProof/>
            <w:webHidden/>
          </w:rPr>
          <w:instrText xml:space="preserve"> PAGEREF _Toc522009738 \h </w:instrText>
        </w:r>
        <w:r>
          <w:rPr>
            <w:noProof/>
            <w:webHidden/>
          </w:rPr>
        </w:r>
        <w:r>
          <w:rPr>
            <w:noProof/>
            <w:webHidden/>
          </w:rPr>
          <w:fldChar w:fldCharType="separate"/>
        </w:r>
        <w:r>
          <w:rPr>
            <w:noProof/>
            <w:webHidden/>
          </w:rPr>
          <w:t>23</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39" w:history="1">
        <w:r w:rsidRPr="00F924DB">
          <w:rPr>
            <w:rStyle w:val="Hipercze"/>
            <w:noProof/>
          </w:rPr>
          <w:t>4.4.</w:t>
        </w:r>
        <w:r>
          <w:rPr>
            <w:rFonts w:asciiTheme="minorHAnsi" w:eastAsiaTheme="minorEastAsia" w:hAnsiTheme="minorHAnsi" w:cstheme="minorBidi"/>
            <w:noProof/>
            <w:lang w:eastAsia="pl-PL"/>
          </w:rPr>
          <w:tab/>
        </w:r>
        <w:r w:rsidRPr="00F924DB">
          <w:rPr>
            <w:rStyle w:val="Hipercze"/>
            <w:noProof/>
          </w:rPr>
          <w:t>Harmonogram wdrożenia projektu</w:t>
        </w:r>
        <w:r>
          <w:rPr>
            <w:noProof/>
            <w:webHidden/>
          </w:rPr>
          <w:tab/>
        </w:r>
        <w:r>
          <w:rPr>
            <w:noProof/>
            <w:webHidden/>
          </w:rPr>
          <w:fldChar w:fldCharType="begin"/>
        </w:r>
        <w:r>
          <w:rPr>
            <w:noProof/>
            <w:webHidden/>
          </w:rPr>
          <w:instrText xml:space="preserve"> PAGEREF _Toc522009739 \h </w:instrText>
        </w:r>
        <w:r>
          <w:rPr>
            <w:noProof/>
            <w:webHidden/>
          </w:rPr>
        </w:r>
        <w:r>
          <w:rPr>
            <w:noProof/>
            <w:webHidden/>
          </w:rPr>
          <w:fldChar w:fldCharType="separate"/>
        </w:r>
        <w:r>
          <w:rPr>
            <w:noProof/>
            <w:webHidden/>
          </w:rPr>
          <w:t>24</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40" w:history="1">
        <w:r w:rsidRPr="00F924DB">
          <w:rPr>
            <w:rStyle w:val="Hipercze"/>
            <w:noProof/>
          </w:rPr>
          <w:t>5.</w:t>
        </w:r>
        <w:r>
          <w:rPr>
            <w:rFonts w:asciiTheme="minorHAnsi" w:eastAsiaTheme="minorEastAsia" w:hAnsiTheme="minorHAnsi" w:cstheme="minorBidi"/>
            <w:noProof/>
            <w:lang w:eastAsia="pl-PL"/>
          </w:rPr>
          <w:tab/>
        </w:r>
        <w:r w:rsidRPr="00F924DB">
          <w:rPr>
            <w:rStyle w:val="Hipercze"/>
            <w:noProof/>
          </w:rPr>
          <w:t>Analiza wykonalności, analiza popytu oraz analiza opcji</w:t>
        </w:r>
        <w:r>
          <w:rPr>
            <w:noProof/>
            <w:webHidden/>
          </w:rPr>
          <w:tab/>
        </w:r>
        <w:r>
          <w:rPr>
            <w:noProof/>
            <w:webHidden/>
          </w:rPr>
          <w:fldChar w:fldCharType="begin"/>
        </w:r>
        <w:r>
          <w:rPr>
            <w:noProof/>
            <w:webHidden/>
          </w:rPr>
          <w:instrText xml:space="preserve"> PAGEREF _Toc522009740 \h </w:instrText>
        </w:r>
        <w:r>
          <w:rPr>
            <w:noProof/>
            <w:webHidden/>
          </w:rPr>
        </w:r>
        <w:r>
          <w:rPr>
            <w:noProof/>
            <w:webHidden/>
          </w:rPr>
          <w:fldChar w:fldCharType="separate"/>
        </w:r>
        <w:r>
          <w:rPr>
            <w:noProof/>
            <w:webHidden/>
          </w:rPr>
          <w:t>25</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1" w:history="1">
        <w:r w:rsidRPr="00F924DB">
          <w:rPr>
            <w:rStyle w:val="Hipercze"/>
            <w:noProof/>
          </w:rPr>
          <w:t>5.1.</w:t>
        </w:r>
        <w:r>
          <w:rPr>
            <w:rFonts w:asciiTheme="minorHAnsi" w:eastAsiaTheme="minorEastAsia" w:hAnsiTheme="minorHAnsi" w:cstheme="minorBidi"/>
            <w:noProof/>
            <w:lang w:eastAsia="pl-PL"/>
          </w:rPr>
          <w:tab/>
        </w:r>
        <w:r w:rsidRPr="00F924DB">
          <w:rPr>
            <w:rStyle w:val="Hipercze"/>
            <w:noProof/>
          </w:rPr>
          <w:t>Analiza wykonalności</w:t>
        </w:r>
        <w:r>
          <w:rPr>
            <w:noProof/>
            <w:webHidden/>
          </w:rPr>
          <w:tab/>
        </w:r>
        <w:r>
          <w:rPr>
            <w:noProof/>
            <w:webHidden/>
          </w:rPr>
          <w:fldChar w:fldCharType="begin"/>
        </w:r>
        <w:r>
          <w:rPr>
            <w:noProof/>
            <w:webHidden/>
          </w:rPr>
          <w:instrText xml:space="preserve"> PAGEREF _Toc522009741 \h </w:instrText>
        </w:r>
        <w:r>
          <w:rPr>
            <w:noProof/>
            <w:webHidden/>
          </w:rPr>
        </w:r>
        <w:r>
          <w:rPr>
            <w:noProof/>
            <w:webHidden/>
          </w:rPr>
          <w:fldChar w:fldCharType="separate"/>
        </w:r>
        <w:r>
          <w:rPr>
            <w:noProof/>
            <w:webHidden/>
          </w:rPr>
          <w:t>25</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2" w:history="1">
        <w:r w:rsidRPr="00F924DB">
          <w:rPr>
            <w:rStyle w:val="Hipercze"/>
            <w:noProof/>
          </w:rPr>
          <w:t>5.2.</w:t>
        </w:r>
        <w:r>
          <w:rPr>
            <w:rFonts w:asciiTheme="minorHAnsi" w:eastAsiaTheme="minorEastAsia" w:hAnsiTheme="minorHAnsi" w:cstheme="minorBidi"/>
            <w:noProof/>
            <w:lang w:eastAsia="pl-PL"/>
          </w:rPr>
          <w:tab/>
        </w:r>
        <w:r w:rsidRPr="00F924DB">
          <w:rPr>
            <w:rStyle w:val="Hipercze"/>
            <w:noProof/>
          </w:rPr>
          <w:t>Analiza popytu</w:t>
        </w:r>
        <w:r>
          <w:rPr>
            <w:noProof/>
            <w:webHidden/>
          </w:rPr>
          <w:tab/>
        </w:r>
        <w:r>
          <w:rPr>
            <w:noProof/>
            <w:webHidden/>
          </w:rPr>
          <w:fldChar w:fldCharType="begin"/>
        </w:r>
        <w:r>
          <w:rPr>
            <w:noProof/>
            <w:webHidden/>
          </w:rPr>
          <w:instrText xml:space="preserve"> PAGEREF _Toc522009742 \h </w:instrText>
        </w:r>
        <w:r>
          <w:rPr>
            <w:noProof/>
            <w:webHidden/>
          </w:rPr>
        </w:r>
        <w:r>
          <w:rPr>
            <w:noProof/>
            <w:webHidden/>
          </w:rPr>
          <w:fldChar w:fldCharType="separate"/>
        </w:r>
        <w:r>
          <w:rPr>
            <w:noProof/>
            <w:webHidden/>
          </w:rPr>
          <w:t>26</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3" w:history="1">
        <w:r w:rsidRPr="00F924DB">
          <w:rPr>
            <w:rStyle w:val="Hipercze"/>
            <w:noProof/>
          </w:rPr>
          <w:t>5.3.</w:t>
        </w:r>
        <w:r>
          <w:rPr>
            <w:rFonts w:asciiTheme="minorHAnsi" w:eastAsiaTheme="minorEastAsia" w:hAnsiTheme="minorHAnsi" w:cstheme="minorBidi"/>
            <w:noProof/>
            <w:lang w:eastAsia="pl-PL"/>
          </w:rPr>
          <w:tab/>
        </w:r>
        <w:r w:rsidRPr="00F924DB">
          <w:rPr>
            <w:rStyle w:val="Hipercze"/>
            <w:noProof/>
          </w:rPr>
          <w:t>Analiza opcji (rozwiązań alternatywnych)</w:t>
        </w:r>
        <w:r>
          <w:rPr>
            <w:noProof/>
            <w:webHidden/>
          </w:rPr>
          <w:tab/>
        </w:r>
        <w:r>
          <w:rPr>
            <w:noProof/>
            <w:webHidden/>
          </w:rPr>
          <w:fldChar w:fldCharType="begin"/>
        </w:r>
        <w:r>
          <w:rPr>
            <w:noProof/>
            <w:webHidden/>
          </w:rPr>
          <w:instrText xml:space="preserve"> PAGEREF _Toc522009743 \h </w:instrText>
        </w:r>
        <w:r>
          <w:rPr>
            <w:noProof/>
            <w:webHidden/>
          </w:rPr>
        </w:r>
        <w:r>
          <w:rPr>
            <w:noProof/>
            <w:webHidden/>
          </w:rPr>
          <w:fldChar w:fldCharType="separate"/>
        </w:r>
        <w:r>
          <w:rPr>
            <w:noProof/>
            <w:webHidden/>
          </w:rPr>
          <w:t>26</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4" w:history="1">
        <w:r w:rsidRPr="00F924DB">
          <w:rPr>
            <w:rStyle w:val="Hipercze"/>
            <w:noProof/>
          </w:rPr>
          <w:t>5.4.</w:t>
        </w:r>
        <w:r>
          <w:rPr>
            <w:rFonts w:asciiTheme="minorHAnsi" w:eastAsiaTheme="minorEastAsia" w:hAnsiTheme="minorHAnsi" w:cstheme="minorBidi"/>
            <w:noProof/>
            <w:lang w:eastAsia="pl-PL"/>
          </w:rPr>
          <w:tab/>
        </w:r>
        <w:r w:rsidRPr="00F924DB">
          <w:rPr>
            <w:rStyle w:val="Hipercze"/>
            <w:noProof/>
          </w:rPr>
          <w:t>Zastosowane rozwiązanie</w:t>
        </w:r>
        <w:r>
          <w:rPr>
            <w:noProof/>
            <w:webHidden/>
          </w:rPr>
          <w:tab/>
        </w:r>
        <w:r>
          <w:rPr>
            <w:noProof/>
            <w:webHidden/>
          </w:rPr>
          <w:fldChar w:fldCharType="begin"/>
        </w:r>
        <w:r>
          <w:rPr>
            <w:noProof/>
            <w:webHidden/>
          </w:rPr>
          <w:instrText xml:space="preserve"> PAGEREF _Toc522009744 \h </w:instrText>
        </w:r>
        <w:r>
          <w:rPr>
            <w:noProof/>
            <w:webHidden/>
          </w:rPr>
        </w:r>
        <w:r>
          <w:rPr>
            <w:noProof/>
            <w:webHidden/>
          </w:rPr>
          <w:fldChar w:fldCharType="separate"/>
        </w:r>
        <w:r>
          <w:rPr>
            <w:noProof/>
            <w:webHidden/>
          </w:rPr>
          <w:t>34</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45" w:history="1">
        <w:r w:rsidRPr="00F924DB">
          <w:rPr>
            <w:rStyle w:val="Hipercze"/>
            <w:noProof/>
          </w:rPr>
          <w:t>6.</w:t>
        </w:r>
        <w:r>
          <w:rPr>
            <w:rFonts w:asciiTheme="minorHAnsi" w:eastAsiaTheme="minorEastAsia" w:hAnsiTheme="minorHAnsi" w:cstheme="minorBidi"/>
            <w:noProof/>
            <w:lang w:eastAsia="pl-PL"/>
          </w:rPr>
          <w:tab/>
        </w:r>
        <w:r w:rsidRPr="00F924DB">
          <w:rPr>
            <w:rStyle w:val="Hipercze"/>
            <w:noProof/>
          </w:rPr>
          <w:t>Analiza finansowa</w:t>
        </w:r>
        <w:r>
          <w:rPr>
            <w:noProof/>
            <w:webHidden/>
          </w:rPr>
          <w:tab/>
        </w:r>
        <w:r>
          <w:rPr>
            <w:noProof/>
            <w:webHidden/>
          </w:rPr>
          <w:fldChar w:fldCharType="begin"/>
        </w:r>
        <w:r>
          <w:rPr>
            <w:noProof/>
            <w:webHidden/>
          </w:rPr>
          <w:instrText xml:space="preserve"> PAGEREF _Toc522009745 \h </w:instrText>
        </w:r>
        <w:r>
          <w:rPr>
            <w:noProof/>
            <w:webHidden/>
          </w:rPr>
        </w:r>
        <w:r>
          <w:rPr>
            <w:noProof/>
            <w:webHidden/>
          </w:rPr>
          <w:fldChar w:fldCharType="separate"/>
        </w:r>
        <w:r>
          <w:rPr>
            <w:noProof/>
            <w:webHidden/>
          </w:rPr>
          <w:t>34</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6" w:history="1">
        <w:r w:rsidRPr="00F924DB">
          <w:rPr>
            <w:rStyle w:val="Hipercze"/>
            <w:noProof/>
          </w:rPr>
          <w:t>6.1.</w:t>
        </w:r>
        <w:r>
          <w:rPr>
            <w:rFonts w:asciiTheme="minorHAnsi" w:eastAsiaTheme="minorEastAsia" w:hAnsiTheme="minorHAnsi" w:cstheme="minorBidi"/>
            <w:noProof/>
            <w:lang w:eastAsia="pl-PL"/>
          </w:rPr>
          <w:tab/>
        </w:r>
        <w:r w:rsidRPr="00F924DB">
          <w:rPr>
            <w:rStyle w:val="Hipercze"/>
            <w:noProof/>
          </w:rPr>
          <w:t>Nakłady inwestycyjne</w:t>
        </w:r>
        <w:r>
          <w:rPr>
            <w:noProof/>
            <w:webHidden/>
          </w:rPr>
          <w:tab/>
        </w:r>
        <w:r>
          <w:rPr>
            <w:noProof/>
            <w:webHidden/>
          </w:rPr>
          <w:fldChar w:fldCharType="begin"/>
        </w:r>
        <w:r>
          <w:rPr>
            <w:noProof/>
            <w:webHidden/>
          </w:rPr>
          <w:instrText xml:space="preserve"> PAGEREF _Toc522009746 \h </w:instrText>
        </w:r>
        <w:r>
          <w:rPr>
            <w:noProof/>
            <w:webHidden/>
          </w:rPr>
        </w:r>
        <w:r>
          <w:rPr>
            <w:noProof/>
            <w:webHidden/>
          </w:rPr>
          <w:fldChar w:fldCharType="separate"/>
        </w:r>
        <w:r>
          <w:rPr>
            <w:noProof/>
            <w:webHidden/>
          </w:rPr>
          <w:t>35</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7" w:history="1">
        <w:r w:rsidRPr="00F924DB">
          <w:rPr>
            <w:rStyle w:val="Hipercze"/>
            <w:noProof/>
          </w:rPr>
          <w:t>6.2.</w:t>
        </w:r>
        <w:r>
          <w:rPr>
            <w:rFonts w:asciiTheme="minorHAnsi" w:eastAsiaTheme="minorEastAsia" w:hAnsiTheme="minorHAnsi" w:cstheme="minorBidi"/>
            <w:noProof/>
            <w:lang w:eastAsia="pl-PL"/>
          </w:rPr>
          <w:tab/>
        </w:r>
        <w:r w:rsidRPr="00F924DB">
          <w:rPr>
            <w:rStyle w:val="Hipercze"/>
            <w:noProof/>
          </w:rPr>
          <w:t>Ogólna metodyka przeprowadzania analizy finansowej</w:t>
        </w:r>
        <w:r>
          <w:rPr>
            <w:noProof/>
            <w:webHidden/>
          </w:rPr>
          <w:tab/>
        </w:r>
        <w:r>
          <w:rPr>
            <w:noProof/>
            <w:webHidden/>
          </w:rPr>
          <w:fldChar w:fldCharType="begin"/>
        </w:r>
        <w:r>
          <w:rPr>
            <w:noProof/>
            <w:webHidden/>
          </w:rPr>
          <w:instrText xml:space="preserve"> PAGEREF _Toc522009747 \h </w:instrText>
        </w:r>
        <w:r>
          <w:rPr>
            <w:noProof/>
            <w:webHidden/>
          </w:rPr>
        </w:r>
        <w:r>
          <w:rPr>
            <w:noProof/>
            <w:webHidden/>
          </w:rPr>
          <w:fldChar w:fldCharType="separate"/>
        </w:r>
        <w:r>
          <w:rPr>
            <w:noProof/>
            <w:webHidden/>
          </w:rPr>
          <w:t>35</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8" w:history="1">
        <w:r w:rsidRPr="00F924DB">
          <w:rPr>
            <w:rStyle w:val="Hipercze"/>
            <w:noProof/>
          </w:rPr>
          <w:t>6.3.</w:t>
        </w:r>
        <w:r>
          <w:rPr>
            <w:rFonts w:asciiTheme="minorHAnsi" w:eastAsiaTheme="minorEastAsia" w:hAnsiTheme="minorHAnsi" w:cstheme="minorBidi"/>
            <w:noProof/>
            <w:lang w:eastAsia="pl-PL"/>
          </w:rPr>
          <w:tab/>
        </w:r>
        <w:r w:rsidRPr="00F924DB">
          <w:rPr>
            <w:rStyle w:val="Hipercze"/>
            <w:noProof/>
          </w:rPr>
          <w:t>Założenia do analizy finansowej</w:t>
        </w:r>
        <w:r>
          <w:rPr>
            <w:noProof/>
            <w:webHidden/>
          </w:rPr>
          <w:tab/>
        </w:r>
        <w:r>
          <w:rPr>
            <w:noProof/>
            <w:webHidden/>
          </w:rPr>
          <w:fldChar w:fldCharType="begin"/>
        </w:r>
        <w:r>
          <w:rPr>
            <w:noProof/>
            <w:webHidden/>
          </w:rPr>
          <w:instrText xml:space="preserve"> PAGEREF _Toc522009748 \h </w:instrText>
        </w:r>
        <w:r>
          <w:rPr>
            <w:noProof/>
            <w:webHidden/>
          </w:rPr>
        </w:r>
        <w:r>
          <w:rPr>
            <w:noProof/>
            <w:webHidden/>
          </w:rPr>
          <w:fldChar w:fldCharType="separate"/>
        </w:r>
        <w:r>
          <w:rPr>
            <w:noProof/>
            <w:webHidden/>
          </w:rPr>
          <w:t>36</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49" w:history="1">
        <w:r w:rsidRPr="00F924DB">
          <w:rPr>
            <w:rStyle w:val="Hipercze"/>
            <w:noProof/>
          </w:rPr>
          <w:t>6.4.</w:t>
        </w:r>
        <w:r>
          <w:rPr>
            <w:rFonts w:asciiTheme="minorHAnsi" w:eastAsiaTheme="minorEastAsia" w:hAnsiTheme="minorHAnsi" w:cstheme="minorBidi"/>
            <w:noProof/>
            <w:lang w:eastAsia="pl-PL"/>
          </w:rPr>
          <w:tab/>
        </w:r>
        <w:r w:rsidRPr="00F924DB">
          <w:rPr>
            <w:rStyle w:val="Hipercze"/>
            <w:noProof/>
          </w:rPr>
          <w:t>Określenie przychodów</w:t>
        </w:r>
        <w:r>
          <w:rPr>
            <w:noProof/>
            <w:webHidden/>
          </w:rPr>
          <w:tab/>
        </w:r>
        <w:r>
          <w:rPr>
            <w:noProof/>
            <w:webHidden/>
          </w:rPr>
          <w:fldChar w:fldCharType="begin"/>
        </w:r>
        <w:r>
          <w:rPr>
            <w:noProof/>
            <w:webHidden/>
          </w:rPr>
          <w:instrText xml:space="preserve"> PAGEREF _Toc522009749 \h </w:instrText>
        </w:r>
        <w:r>
          <w:rPr>
            <w:noProof/>
            <w:webHidden/>
          </w:rPr>
        </w:r>
        <w:r>
          <w:rPr>
            <w:noProof/>
            <w:webHidden/>
          </w:rPr>
          <w:fldChar w:fldCharType="separate"/>
        </w:r>
        <w:r>
          <w:rPr>
            <w:noProof/>
            <w:webHidden/>
          </w:rPr>
          <w:t>38</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50" w:history="1">
        <w:r w:rsidRPr="00F924DB">
          <w:rPr>
            <w:rStyle w:val="Hipercze"/>
            <w:noProof/>
          </w:rPr>
          <w:t>6.5.</w:t>
        </w:r>
        <w:r>
          <w:rPr>
            <w:rFonts w:asciiTheme="minorHAnsi" w:eastAsiaTheme="minorEastAsia" w:hAnsiTheme="minorHAnsi" w:cstheme="minorBidi"/>
            <w:noProof/>
            <w:lang w:eastAsia="pl-PL"/>
          </w:rPr>
          <w:tab/>
        </w:r>
        <w:r w:rsidRPr="00F924DB">
          <w:rPr>
            <w:rStyle w:val="Hipercze"/>
            <w:noProof/>
          </w:rPr>
          <w:t>Metoda luki w finansowaniu</w:t>
        </w:r>
        <w:r>
          <w:rPr>
            <w:noProof/>
            <w:webHidden/>
          </w:rPr>
          <w:tab/>
        </w:r>
        <w:r>
          <w:rPr>
            <w:noProof/>
            <w:webHidden/>
          </w:rPr>
          <w:fldChar w:fldCharType="begin"/>
        </w:r>
        <w:r>
          <w:rPr>
            <w:noProof/>
            <w:webHidden/>
          </w:rPr>
          <w:instrText xml:space="preserve"> PAGEREF _Toc522009750 \h </w:instrText>
        </w:r>
        <w:r>
          <w:rPr>
            <w:noProof/>
            <w:webHidden/>
          </w:rPr>
        </w:r>
        <w:r>
          <w:rPr>
            <w:noProof/>
            <w:webHidden/>
          </w:rPr>
          <w:fldChar w:fldCharType="separate"/>
        </w:r>
        <w:r>
          <w:rPr>
            <w:noProof/>
            <w:webHidden/>
          </w:rPr>
          <w:t>39</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51" w:history="1">
        <w:r w:rsidRPr="00F924DB">
          <w:rPr>
            <w:rStyle w:val="Hipercze"/>
            <w:noProof/>
          </w:rPr>
          <w:t>6.6.</w:t>
        </w:r>
        <w:r>
          <w:rPr>
            <w:rFonts w:asciiTheme="minorHAnsi" w:eastAsiaTheme="minorEastAsia" w:hAnsiTheme="minorHAnsi" w:cstheme="minorBidi"/>
            <w:noProof/>
            <w:lang w:eastAsia="pl-PL"/>
          </w:rPr>
          <w:tab/>
        </w:r>
        <w:r w:rsidRPr="00F924DB">
          <w:rPr>
            <w:rStyle w:val="Hipercze"/>
            <w:noProof/>
          </w:rPr>
          <w:t>Metoda zryczałtowanych procentowych stawek dochodów</w:t>
        </w:r>
        <w:r>
          <w:rPr>
            <w:noProof/>
            <w:webHidden/>
          </w:rPr>
          <w:tab/>
        </w:r>
        <w:r>
          <w:rPr>
            <w:noProof/>
            <w:webHidden/>
          </w:rPr>
          <w:fldChar w:fldCharType="begin"/>
        </w:r>
        <w:r>
          <w:rPr>
            <w:noProof/>
            <w:webHidden/>
          </w:rPr>
          <w:instrText xml:space="preserve"> PAGEREF _Toc522009751 \h </w:instrText>
        </w:r>
        <w:r>
          <w:rPr>
            <w:noProof/>
            <w:webHidden/>
          </w:rPr>
        </w:r>
        <w:r>
          <w:rPr>
            <w:noProof/>
            <w:webHidden/>
          </w:rPr>
          <w:fldChar w:fldCharType="separate"/>
        </w:r>
        <w:r>
          <w:rPr>
            <w:noProof/>
            <w:webHidden/>
          </w:rPr>
          <w:t>42</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52" w:history="1">
        <w:r w:rsidRPr="00F924DB">
          <w:rPr>
            <w:rStyle w:val="Hipercze"/>
            <w:noProof/>
          </w:rPr>
          <w:t>6.7.</w:t>
        </w:r>
        <w:r>
          <w:rPr>
            <w:rFonts w:asciiTheme="minorHAnsi" w:eastAsiaTheme="minorEastAsia" w:hAnsiTheme="minorHAnsi" w:cstheme="minorBidi"/>
            <w:noProof/>
            <w:lang w:eastAsia="pl-PL"/>
          </w:rPr>
          <w:tab/>
        </w:r>
        <w:r w:rsidRPr="00F924DB">
          <w:rPr>
            <w:rStyle w:val="Hipercze"/>
            <w:noProof/>
          </w:rPr>
          <w:t>Wskaźniki efektywności finansowej</w:t>
        </w:r>
        <w:r>
          <w:rPr>
            <w:noProof/>
            <w:webHidden/>
          </w:rPr>
          <w:tab/>
        </w:r>
        <w:r>
          <w:rPr>
            <w:noProof/>
            <w:webHidden/>
          </w:rPr>
          <w:fldChar w:fldCharType="begin"/>
        </w:r>
        <w:r>
          <w:rPr>
            <w:noProof/>
            <w:webHidden/>
          </w:rPr>
          <w:instrText xml:space="preserve"> PAGEREF _Toc522009752 \h </w:instrText>
        </w:r>
        <w:r>
          <w:rPr>
            <w:noProof/>
            <w:webHidden/>
          </w:rPr>
        </w:r>
        <w:r>
          <w:rPr>
            <w:noProof/>
            <w:webHidden/>
          </w:rPr>
          <w:fldChar w:fldCharType="separate"/>
        </w:r>
        <w:r>
          <w:rPr>
            <w:noProof/>
            <w:webHidden/>
          </w:rPr>
          <w:t>44</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53" w:history="1">
        <w:r w:rsidRPr="00F924DB">
          <w:rPr>
            <w:rStyle w:val="Hipercze"/>
            <w:noProof/>
          </w:rPr>
          <w:t>6.8.</w:t>
        </w:r>
        <w:r>
          <w:rPr>
            <w:rFonts w:asciiTheme="minorHAnsi" w:eastAsiaTheme="minorEastAsia" w:hAnsiTheme="minorHAnsi" w:cstheme="minorBidi"/>
            <w:noProof/>
            <w:lang w:eastAsia="pl-PL"/>
          </w:rPr>
          <w:tab/>
        </w:r>
        <w:r w:rsidRPr="00F924DB">
          <w:rPr>
            <w:rStyle w:val="Hipercze"/>
            <w:noProof/>
          </w:rPr>
          <w:t>Analiza trwałości finansowej</w:t>
        </w:r>
        <w:r>
          <w:rPr>
            <w:noProof/>
            <w:webHidden/>
          </w:rPr>
          <w:tab/>
        </w:r>
        <w:r>
          <w:rPr>
            <w:noProof/>
            <w:webHidden/>
          </w:rPr>
          <w:fldChar w:fldCharType="begin"/>
        </w:r>
        <w:r>
          <w:rPr>
            <w:noProof/>
            <w:webHidden/>
          </w:rPr>
          <w:instrText xml:space="preserve"> PAGEREF _Toc522009753 \h </w:instrText>
        </w:r>
        <w:r>
          <w:rPr>
            <w:noProof/>
            <w:webHidden/>
          </w:rPr>
        </w:r>
        <w:r>
          <w:rPr>
            <w:noProof/>
            <w:webHidden/>
          </w:rPr>
          <w:fldChar w:fldCharType="separate"/>
        </w:r>
        <w:r>
          <w:rPr>
            <w:noProof/>
            <w:webHidden/>
          </w:rPr>
          <w:t>45</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54" w:history="1">
        <w:r w:rsidRPr="00F924DB">
          <w:rPr>
            <w:rStyle w:val="Hipercze"/>
            <w:noProof/>
          </w:rPr>
          <w:t>7.</w:t>
        </w:r>
        <w:r>
          <w:rPr>
            <w:rFonts w:asciiTheme="minorHAnsi" w:eastAsiaTheme="minorEastAsia" w:hAnsiTheme="minorHAnsi" w:cstheme="minorBidi"/>
            <w:noProof/>
            <w:lang w:eastAsia="pl-PL"/>
          </w:rPr>
          <w:tab/>
        </w:r>
        <w:r w:rsidRPr="00F924DB">
          <w:rPr>
            <w:rStyle w:val="Hipercze"/>
            <w:noProof/>
          </w:rPr>
          <w:t>Analiza kosztów i korzyści</w:t>
        </w:r>
        <w:r>
          <w:rPr>
            <w:noProof/>
            <w:webHidden/>
          </w:rPr>
          <w:tab/>
        </w:r>
        <w:r>
          <w:rPr>
            <w:noProof/>
            <w:webHidden/>
          </w:rPr>
          <w:fldChar w:fldCharType="begin"/>
        </w:r>
        <w:r>
          <w:rPr>
            <w:noProof/>
            <w:webHidden/>
          </w:rPr>
          <w:instrText xml:space="preserve"> PAGEREF _Toc522009754 \h </w:instrText>
        </w:r>
        <w:r>
          <w:rPr>
            <w:noProof/>
            <w:webHidden/>
          </w:rPr>
        </w:r>
        <w:r>
          <w:rPr>
            <w:noProof/>
            <w:webHidden/>
          </w:rPr>
          <w:fldChar w:fldCharType="separate"/>
        </w:r>
        <w:r>
          <w:rPr>
            <w:noProof/>
            <w:webHidden/>
          </w:rPr>
          <w:t>45</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55" w:history="1">
        <w:r w:rsidRPr="00F924DB">
          <w:rPr>
            <w:rStyle w:val="Hipercze"/>
            <w:noProof/>
          </w:rPr>
          <w:t>8.</w:t>
        </w:r>
        <w:r>
          <w:rPr>
            <w:rFonts w:asciiTheme="minorHAnsi" w:eastAsiaTheme="minorEastAsia" w:hAnsiTheme="minorHAnsi" w:cstheme="minorBidi"/>
            <w:noProof/>
            <w:lang w:eastAsia="pl-PL"/>
          </w:rPr>
          <w:tab/>
        </w:r>
        <w:r w:rsidRPr="00F924DB">
          <w:rPr>
            <w:rStyle w:val="Hipercze"/>
            <w:noProof/>
          </w:rPr>
          <w:t>Analiza wrażliwości i ryzyka</w:t>
        </w:r>
        <w:r>
          <w:rPr>
            <w:noProof/>
            <w:webHidden/>
          </w:rPr>
          <w:tab/>
        </w:r>
        <w:r>
          <w:rPr>
            <w:noProof/>
            <w:webHidden/>
          </w:rPr>
          <w:fldChar w:fldCharType="begin"/>
        </w:r>
        <w:r>
          <w:rPr>
            <w:noProof/>
            <w:webHidden/>
          </w:rPr>
          <w:instrText xml:space="preserve"> PAGEREF _Toc522009755 \h </w:instrText>
        </w:r>
        <w:r>
          <w:rPr>
            <w:noProof/>
            <w:webHidden/>
          </w:rPr>
        </w:r>
        <w:r>
          <w:rPr>
            <w:noProof/>
            <w:webHidden/>
          </w:rPr>
          <w:fldChar w:fldCharType="separate"/>
        </w:r>
        <w:r>
          <w:rPr>
            <w:noProof/>
            <w:webHidden/>
          </w:rPr>
          <w:t>46</w:t>
        </w:r>
        <w:r>
          <w:rPr>
            <w:noProof/>
            <w:webHidden/>
          </w:rPr>
          <w:fldChar w:fldCharType="end"/>
        </w:r>
      </w:hyperlink>
    </w:p>
    <w:p w:rsidR="00AB0D69" w:rsidRDefault="00AB0D69">
      <w:pPr>
        <w:pStyle w:val="Spistreci1"/>
        <w:tabs>
          <w:tab w:val="left" w:pos="440"/>
          <w:tab w:val="right" w:leader="dot" w:pos="10456"/>
        </w:tabs>
        <w:rPr>
          <w:rFonts w:asciiTheme="minorHAnsi" w:eastAsiaTheme="minorEastAsia" w:hAnsiTheme="minorHAnsi" w:cstheme="minorBidi"/>
          <w:noProof/>
          <w:lang w:eastAsia="pl-PL"/>
        </w:rPr>
      </w:pPr>
      <w:hyperlink w:anchor="_Toc522009756" w:history="1">
        <w:r w:rsidRPr="00F924DB">
          <w:rPr>
            <w:rStyle w:val="Hipercze"/>
            <w:noProof/>
          </w:rPr>
          <w:t>9.</w:t>
        </w:r>
        <w:r>
          <w:rPr>
            <w:rFonts w:asciiTheme="minorHAnsi" w:eastAsiaTheme="minorEastAsia" w:hAnsiTheme="minorHAnsi" w:cstheme="minorBidi"/>
            <w:noProof/>
            <w:lang w:eastAsia="pl-PL"/>
          </w:rPr>
          <w:tab/>
        </w:r>
        <w:r w:rsidRPr="00F924DB">
          <w:rPr>
            <w:rStyle w:val="Hipercze"/>
            <w:noProof/>
          </w:rPr>
          <w:t>Analizy i informacje specyficzne dla danego rodzaju projektu lub sektora</w:t>
        </w:r>
        <w:r>
          <w:rPr>
            <w:noProof/>
            <w:webHidden/>
          </w:rPr>
          <w:tab/>
        </w:r>
        <w:r>
          <w:rPr>
            <w:noProof/>
            <w:webHidden/>
          </w:rPr>
          <w:fldChar w:fldCharType="begin"/>
        </w:r>
        <w:r>
          <w:rPr>
            <w:noProof/>
            <w:webHidden/>
          </w:rPr>
          <w:instrText xml:space="preserve"> PAGEREF _Toc522009756 \h </w:instrText>
        </w:r>
        <w:r>
          <w:rPr>
            <w:noProof/>
            <w:webHidden/>
          </w:rPr>
        </w:r>
        <w:r>
          <w:rPr>
            <w:noProof/>
            <w:webHidden/>
          </w:rPr>
          <w:fldChar w:fldCharType="separate"/>
        </w:r>
        <w:r>
          <w:rPr>
            <w:noProof/>
            <w:webHidden/>
          </w:rPr>
          <w:t>47</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57" w:history="1">
        <w:r w:rsidRPr="00F924DB">
          <w:rPr>
            <w:rStyle w:val="Hipercze"/>
            <w:noProof/>
          </w:rPr>
          <w:t>9.1.</w:t>
        </w:r>
        <w:r>
          <w:rPr>
            <w:rFonts w:asciiTheme="minorHAnsi" w:eastAsiaTheme="minorEastAsia" w:hAnsiTheme="minorHAnsi" w:cstheme="minorBidi"/>
            <w:noProof/>
            <w:lang w:eastAsia="pl-PL"/>
          </w:rPr>
          <w:tab/>
        </w:r>
        <w:r w:rsidRPr="00F924DB">
          <w:rPr>
            <w:rStyle w:val="Hipercze"/>
            <w:noProof/>
          </w:rPr>
          <w:t>Działanie 7.4 — Rozwój infrastruktury edukacyjnej i szkoleniowej</w:t>
        </w:r>
        <w:r>
          <w:rPr>
            <w:noProof/>
            <w:webHidden/>
          </w:rPr>
          <w:tab/>
        </w:r>
        <w:r>
          <w:rPr>
            <w:noProof/>
            <w:webHidden/>
          </w:rPr>
          <w:fldChar w:fldCharType="begin"/>
        </w:r>
        <w:r>
          <w:rPr>
            <w:noProof/>
            <w:webHidden/>
          </w:rPr>
          <w:instrText xml:space="preserve"> PAGEREF _Toc522009757 \h </w:instrText>
        </w:r>
        <w:r>
          <w:rPr>
            <w:noProof/>
            <w:webHidden/>
          </w:rPr>
        </w:r>
        <w:r>
          <w:rPr>
            <w:noProof/>
            <w:webHidden/>
          </w:rPr>
          <w:fldChar w:fldCharType="separate"/>
        </w:r>
        <w:r>
          <w:rPr>
            <w:noProof/>
            <w:webHidden/>
          </w:rPr>
          <w:t>47</w:t>
        </w:r>
        <w:r>
          <w:rPr>
            <w:noProof/>
            <w:webHidden/>
          </w:rPr>
          <w:fldChar w:fldCharType="end"/>
        </w:r>
      </w:hyperlink>
    </w:p>
    <w:p w:rsidR="00AB0D69" w:rsidRDefault="00AB0D69">
      <w:pPr>
        <w:pStyle w:val="Spistreci2"/>
        <w:tabs>
          <w:tab w:val="left" w:pos="1100"/>
          <w:tab w:val="right" w:leader="dot" w:pos="10456"/>
        </w:tabs>
        <w:rPr>
          <w:rFonts w:asciiTheme="minorHAnsi" w:eastAsiaTheme="minorEastAsia" w:hAnsiTheme="minorHAnsi" w:cstheme="minorBidi"/>
          <w:noProof/>
          <w:lang w:eastAsia="pl-PL"/>
        </w:rPr>
      </w:pPr>
      <w:hyperlink w:anchor="_Toc522009758" w:history="1">
        <w:r w:rsidRPr="00F924DB">
          <w:rPr>
            <w:rStyle w:val="Hipercze"/>
            <w:noProof/>
          </w:rPr>
          <w:t>9.1.1</w:t>
        </w:r>
        <w:r>
          <w:rPr>
            <w:rFonts w:asciiTheme="minorHAnsi" w:eastAsiaTheme="minorEastAsia" w:hAnsiTheme="minorHAnsi" w:cstheme="minorBidi"/>
            <w:noProof/>
            <w:lang w:eastAsia="pl-PL"/>
          </w:rPr>
          <w:tab/>
        </w:r>
        <w:r w:rsidRPr="00F924DB">
          <w:rPr>
            <w:rStyle w:val="Hipercze"/>
            <w:noProof/>
          </w:rPr>
          <w:t>Typ projektu: Infrastruktura edukacyjna na potrzeby edukacji szkolnej na poziomie podstawowym</w:t>
        </w:r>
        <w:r>
          <w:rPr>
            <w:noProof/>
            <w:webHidden/>
          </w:rPr>
          <w:tab/>
        </w:r>
        <w:r>
          <w:rPr>
            <w:noProof/>
            <w:webHidden/>
          </w:rPr>
          <w:fldChar w:fldCharType="begin"/>
        </w:r>
        <w:r>
          <w:rPr>
            <w:noProof/>
            <w:webHidden/>
          </w:rPr>
          <w:instrText xml:space="preserve"> PAGEREF _Toc522009758 \h </w:instrText>
        </w:r>
        <w:r>
          <w:rPr>
            <w:noProof/>
            <w:webHidden/>
          </w:rPr>
        </w:r>
        <w:r>
          <w:rPr>
            <w:noProof/>
            <w:webHidden/>
          </w:rPr>
          <w:fldChar w:fldCharType="separate"/>
        </w:r>
        <w:r>
          <w:rPr>
            <w:noProof/>
            <w:webHidden/>
          </w:rPr>
          <w:t>47</w:t>
        </w:r>
        <w:r>
          <w:rPr>
            <w:noProof/>
            <w:webHidden/>
          </w:rPr>
          <w:fldChar w:fldCharType="end"/>
        </w:r>
      </w:hyperlink>
    </w:p>
    <w:p w:rsidR="00AB0D69" w:rsidRDefault="00AB0D69">
      <w:pPr>
        <w:pStyle w:val="Spistreci2"/>
        <w:tabs>
          <w:tab w:val="right" w:leader="dot" w:pos="10456"/>
        </w:tabs>
        <w:rPr>
          <w:rFonts w:asciiTheme="minorHAnsi" w:eastAsiaTheme="minorEastAsia" w:hAnsiTheme="minorHAnsi" w:cstheme="minorBidi"/>
          <w:noProof/>
          <w:lang w:eastAsia="pl-PL"/>
        </w:rPr>
      </w:pPr>
      <w:hyperlink w:anchor="_Toc522009759" w:history="1">
        <w:r w:rsidRPr="00F924DB">
          <w:rPr>
            <w:rStyle w:val="Hipercze"/>
            <w:noProof/>
          </w:rPr>
          <w:t>W przedmiotowym konkursie przewidziano jedynie jeden typ projektów dotyczący edukacji szkolnej na poziomie podstawowym (kod kategorii interwencji 051).</w:t>
        </w:r>
        <w:r>
          <w:rPr>
            <w:noProof/>
            <w:webHidden/>
          </w:rPr>
          <w:tab/>
        </w:r>
        <w:r>
          <w:rPr>
            <w:noProof/>
            <w:webHidden/>
          </w:rPr>
          <w:fldChar w:fldCharType="begin"/>
        </w:r>
        <w:r>
          <w:rPr>
            <w:noProof/>
            <w:webHidden/>
          </w:rPr>
          <w:instrText xml:space="preserve"> PAGEREF _Toc522009759 \h </w:instrText>
        </w:r>
        <w:r>
          <w:rPr>
            <w:noProof/>
            <w:webHidden/>
          </w:rPr>
        </w:r>
        <w:r>
          <w:rPr>
            <w:noProof/>
            <w:webHidden/>
          </w:rPr>
          <w:fldChar w:fldCharType="separate"/>
        </w:r>
        <w:r>
          <w:rPr>
            <w:noProof/>
            <w:webHidden/>
          </w:rPr>
          <w:t>47</w:t>
        </w:r>
        <w:r>
          <w:rPr>
            <w:noProof/>
            <w:webHidden/>
          </w:rPr>
          <w:fldChar w:fldCharType="end"/>
        </w:r>
      </w:hyperlink>
    </w:p>
    <w:p w:rsidR="00AB0D69" w:rsidRDefault="00AB0D69">
      <w:pPr>
        <w:pStyle w:val="Spistreci2"/>
        <w:tabs>
          <w:tab w:val="left" w:pos="1100"/>
          <w:tab w:val="right" w:leader="dot" w:pos="10456"/>
        </w:tabs>
        <w:rPr>
          <w:rFonts w:asciiTheme="minorHAnsi" w:eastAsiaTheme="minorEastAsia" w:hAnsiTheme="minorHAnsi" w:cstheme="minorBidi"/>
          <w:noProof/>
          <w:lang w:eastAsia="pl-PL"/>
        </w:rPr>
      </w:pPr>
      <w:hyperlink w:anchor="_Toc522009760" w:history="1">
        <w:r w:rsidRPr="00F924DB">
          <w:rPr>
            <w:rStyle w:val="Hipercze"/>
            <w:noProof/>
          </w:rPr>
          <w:t>9.1.2</w:t>
        </w:r>
        <w:r>
          <w:rPr>
            <w:rFonts w:asciiTheme="minorHAnsi" w:eastAsiaTheme="minorEastAsia" w:hAnsiTheme="minorHAnsi" w:cstheme="minorBidi"/>
            <w:noProof/>
            <w:lang w:eastAsia="pl-PL"/>
          </w:rPr>
          <w:tab/>
        </w:r>
        <w:r w:rsidRPr="00F924DB">
          <w:rPr>
            <w:rStyle w:val="Hipercze"/>
            <w:b/>
            <w:noProof/>
          </w:rPr>
          <w:t>Kryteria punktowe</w:t>
        </w:r>
        <w:r>
          <w:rPr>
            <w:noProof/>
            <w:webHidden/>
          </w:rPr>
          <w:tab/>
        </w:r>
        <w:r>
          <w:rPr>
            <w:noProof/>
            <w:webHidden/>
          </w:rPr>
          <w:fldChar w:fldCharType="begin"/>
        </w:r>
        <w:r>
          <w:rPr>
            <w:noProof/>
            <w:webHidden/>
          </w:rPr>
          <w:instrText xml:space="preserve"> PAGEREF _Toc522009760 \h </w:instrText>
        </w:r>
        <w:r>
          <w:rPr>
            <w:noProof/>
            <w:webHidden/>
          </w:rPr>
        </w:r>
        <w:r>
          <w:rPr>
            <w:noProof/>
            <w:webHidden/>
          </w:rPr>
          <w:fldChar w:fldCharType="separate"/>
        </w:r>
        <w:r>
          <w:rPr>
            <w:noProof/>
            <w:webHidden/>
          </w:rPr>
          <w:t>49</w:t>
        </w:r>
        <w:r>
          <w:rPr>
            <w:noProof/>
            <w:webHidden/>
          </w:rPr>
          <w:fldChar w:fldCharType="end"/>
        </w:r>
      </w:hyperlink>
    </w:p>
    <w:p w:rsidR="00AB0D69" w:rsidRDefault="00AB0D69">
      <w:pPr>
        <w:pStyle w:val="Spistreci2"/>
        <w:tabs>
          <w:tab w:val="left" w:pos="880"/>
          <w:tab w:val="right" w:leader="dot" w:pos="10456"/>
        </w:tabs>
        <w:rPr>
          <w:rFonts w:asciiTheme="minorHAnsi" w:eastAsiaTheme="minorEastAsia" w:hAnsiTheme="minorHAnsi" w:cstheme="minorBidi"/>
          <w:noProof/>
          <w:lang w:eastAsia="pl-PL"/>
        </w:rPr>
      </w:pPr>
      <w:hyperlink w:anchor="_Toc522009761" w:history="1">
        <w:r w:rsidRPr="00F924DB">
          <w:rPr>
            <w:rStyle w:val="Hipercze"/>
            <w:noProof/>
          </w:rPr>
          <w:t>9.2.</w:t>
        </w:r>
        <w:r>
          <w:rPr>
            <w:rFonts w:asciiTheme="minorHAnsi" w:eastAsiaTheme="minorEastAsia" w:hAnsiTheme="minorHAnsi" w:cstheme="minorBidi"/>
            <w:noProof/>
            <w:lang w:eastAsia="pl-PL"/>
          </w:rPr>
          <w:tab/>
        </w:r>
        <w:r w:rsidRPr="00F924DB">
          <w:rPr>
            <w:rStyle w:val="Hipercze"/>
            <w:noProof/>
          </w:rPr>
          <w:t>Projekty hybryd</w:t>
        </w:r>
        <w:r w:rsidRPr="00F924DB">
          <w:rPr>
            <w:rStyle w:val="Hipercze"/>
            <w:noProof/>
          </w:rPr>
          <w:t>o</w:t>
        </w:r>
        <w:r w:rsidRPr="00F924DB">
          <w:rPr>
            <w:rStyle w:val="Hipercze"/>
            <w:noProof/>
          </w:rPr>
          <w:t>we</w:t>
        </w:r>
        <w:r>
          <w:rPr>
            <w:noProof/>
            <w:webHidden/>
          </w:rPr>
          <w:tab/>
        </w:r>
        <w:r>
          <w:rPr>
            <w:noProof/>
            <w:webHidden/>
          </w:rPr>
          <w:fldChar w:fldCharType="begin"/>
        </w:r>
        <w:r>
          <w:rPr>
            <w:noProof/>
            <w:webHidden/>
          </w:rPr>
          <w:instrText xml:space="preserve"> PAGEREF _Toc522009761 \h </w:instrText>
        </w:r>
        <w:r>
          <w:rPr>
            <w:noProof/>
            <w:webHidden/>
          </w:rPr>
        </w:r>
        <w:r>
          <w:rPr>
            <w:noProof/>
            <w:webHidden/>
          </w:rPr>
          <w:fldChar w:fldCharType="separate"/>
        </w:r>
        <w:r>
          <w:rPr>
            <w:noProof/>
            <w:webHidden/>
          </w:rPr>
          <w:t>49</w:t>
        </w:r>
        <w:r>
          <w:rPr>
            <w:noProof/>
            <w:webHidden/>
          </w:rPr>
          <w:fldChar w:fldCharType="end"/>
        </w:r>
      </w:hyperlink>
    </w:p>
    <w:p w:rsidR="00AB0D69" w:rsidRDefault="00AB0D69">
      <w:pPr>
        <w:pStyle w:val="Spistreci1"/>
        <w:tabs>
          <w:tab w:val="left" w:pos="660"/>
          <w:tab w:val="right" w:leader="dot" w:pos="10456"/>
        </w:tabs>
        <w:rPr>
          <w:rFonts w:asciiTheme="minorHAnsi" w:eastAsiaTheme="minorEastAsia" w:hAnsiTheme="minorHAnsi" w:cstheme="minorBidi"/>
          <w:noProof/>
          <w:lang w:eastAsia="pl-PL"/>
        </w:rPr>
      </w:pPr>
      <w:hyperlink w:anchor="_Toc522009762" w:history="1">
        <w:r w:rsidRPr="00F924DB">
          <w:rPr>
            <w:rStyle w:val="Hipercze"/>
            <w:noProof/>
          </w:rPr>
          <w:t>10.</w:t>
        </w:r>
        <w:r>
          <w:rPr>
            <w:rFonts w:asciiTheme="minorHAnsi" w:eastAsiaTheme="minorEastAsia" w:hAnsiTheme="minorHAnsi" w:cstheme="minorBidi"/>
            <w:noProof/>
            <w:lang w:eastAsia="pl-PL"/>
          </w:rPr>
          <w:tab/>
        </w:r>
        <w:r w:rsidRPr="00F924DB">
          <w:rPr>
            <w:rStyle w:val="Hipercze"/>
            <w:noProof/>
          </w:rPr>
          <w:t>Analiza oddziaływania na środowisko</w:t>
        </w:r>
        <w:r>
          <w:rPr>
            <w:noProof/>
            <w:webHidden/>
          </w:rPr>
          <w:tab/>
        </w:r>
        <w:r>
          <w:rPr>
            <w:noProof/>
            <w:webHidden/>
          </w:rPr>
          <w:fldChar w:fldCharType="begin"/>
        </w:r>
        <w:r>
          <w:rPr>
            <w:noProof/>
            <w:webHidden/>
          </w:rPr>
          <w:instrText xml:space="preserve"> PAGEREF _Toc522009762 \h </w:instrText>
        </w:r>
        <w:r>
          <w:rPr>
            <w:noProof/>
            <w:webHidden/>
          </w:rPr>
        </w:r>
        <w:r>
          <w:rPr>
            <w:noProof/>
            <w:webHidden/>
          </w:rPr>
          <w:fldChar w:fldCharType="separate"/>
        </w:r>
        <w:r>
          <w:rPr>
            <w:noProof/>
            <w:webHidden/>
          </w:rPr>
          <w:t>50</w:t>
        </w:r>
        <w:r>
          <w:rPr>
            <w:noProof/>
            <w:webHidden/>
          </w:rPr>
          <w:fldChar w:fldCharType="end"/>
        </w:r>
      </w:hyperlink>
    </w:p>
    <w:p w:rsidR="00AB0D69" w:rsidRDefault="00AB0D69">
      <w:pPr>
        <w:pStyle w:val="Spistreci2"/>
        <w:tabs>
          <w:tab w:val="left" w:pos="1100"/>
          <w:tab w:val="right" w:leader="dot" w:pos="10456"/>
        </w:tabs>
        <w:rPr>
          <w:rFonts w:asciiTheme="minorHAnsi" w:eastAsiaTheme="minorEastAsia" w:hAnsiTheme="minorHAnsi" w:cstheme="minorBidi"/>
          <w:noProof/>
          <w:lang w:eastAsia="pl-PL"/>
        </w:rPr>
      </w:pPr>
      <w:hyperlink w:anchor="_Toc522009763" w:history="1">
        <w:r w:rsidRPr="00F924DB">
          <w:rPr>
            <w:rStyle w:val="Hipercze"/>
            <w:noProof/>
          </w:rPr>
          <w:t>10.1.</w:t>
        </w:r>
        <w:r>
          <w:rPr>
            <w:rFonts w:asciiTheme="minorHAnsi" w:eastAsiaTheme="minorEastAsia" w:hAnsiTheme="minorHAnsi" w:cstheme="minorBidi"/>
            <w:noProof/>
            <w:lang w:eastAsia="pl-PL"/>
          </w:rPr>
          <w:tab/>
        </w:r>
        <w:r w:rsidRPr="00F924DB">
          <w:rPr>
            <w:rStyle w:val="Hipercze"/>
            <w:noProof/>
          </w:rPr>
          <w:t>Ocena oddziaływania na środowisko</w:t>
        </w:r>
        <w:r>
          <w:rPr>
            <w:noProof/>
            <w:webHidden/>
          </w:rPr>
          <w:tab/>
        </w:r>
        <w:r>
          <w:rPr>
            <w:noProof/>
            <w:webHidden/>
          </w:rPr>
          <w:fldChar w:fldCharType="begin"/>
        </w:r>
        <w:r>
          <w:rPr>
            <w:noProof/>
            <w:webHidden/>
          </w:rPr>
          <w:instrText xml:space="preserve"> PAGEREF _Toc522009763 \h </w:instrText>
        </w:r>
        <w:r>
          <w:rPr>
            <w:noProof/>
            <w:webHidden/>
          </w:rPr>
        </w:r>
        <w:r>
          <w:rPr>
            <w:noProof/>
            <w:webHidden/>
          </w:rPr>
          <w:fldChar w:fldCharType="separate"/>
        </w:r>
        <w:r>
          <w:rPr>
            <w:noProof/>
            <w:webHidden/>
          </w:rPr>
          <w:t>50</w:t>
        </w:r>
        <w:r>
          <w:rPr>
            <w:noProof/>
            <w:webHidden/>
          </w:rPr>
          <w:fldChar w:fldCharType="end"/>
        </w:r>
      </w:hyperlink>
    </w:p>
    <w:p w:rsidR="00AB0D69" w:rsidRDefault="00AB0D69">
      <w:pPr>
        <w:pStyle w:val="Spistreci2"/>
        <w:tabs>
          <w:tab w:val="left" w:pos="1100"/>
          <w:tab w:val="right" w:leader="dot" w:pos="10456"/>
        </w:tabs>
        <w:rPr>
          <w:rFonts w:asciiTheme="minorHAnsi" w:eastAsiaTheme="minorEastAsia" w:hAnsiTheme="minorHAnsi" w:cstheme="minorBidi"/>
          <w:noProof/>
          <w:lang w:eastAsia="pl-PL"/>
        </w:rPr>
      </w:pPr>
      <w:hyperlink w:anchor="_Toc522009764" w:history="1">
        <w:r w:rsidRPr="00F924DB">
          <w:rPr>
            <w:rStyle w:val="Hipercze"/>
            <w:noProof/>
          </w:rPr>
          <w:t>10.2.</w:t>
        </w:r>
        <w:r>
          <w:rPr>
            <w:rFonts w:asciiTheme="minorHAnsi" w:eastAsiaTheme="minorEastAsia" w:hAnsiTheme="minorHAnsi" w:cstheme="minorBidi"/>
            <w:noProof/>
            <w:lang w:eastAsia="pl-PL"/>
          </w:rPr>
          <w:tab/>
        </w:r>
        <w:r w:rsidRPr="00F924DB">
          <w:rPr>
            <w:rStyle w:val="Hipercze"/>
            <w:noProof/>
          </w:rPr>
          <w:t>Wpływ na obszary Natura 2000</w:t>
        </w:r>
        <w:r>
          <w:rPr>
            <w:noProof/>
            <w:webHidden/>
          </w:rPr>
          <w:tab/>
        </w:r>
        <w:r>
          <w:rPr>
            <w:noProof/>
            <w:webHidden/>
          </w:rPr>
          <w:fldChar w:fldCharType="begin"/>
        </w:r>
        <w:r>
          <w:rPr>
            <w:noProof/>
            <w:webHidden/>
          </w:rPr>
          <w:instrText xml:space="preserve"> PAGEREF _Toc522009764 \h </w:instrText>
        </w:r>
        <w:r>
          <w:rPr>
            <w:noProof/>
            <w:webHidden/>
          </w:rPr>
        </w:r>
        <w:r>
          <w:rPr>
            <w:noProof/>
            <w:webHidden/>
          </w:rPr>
          <w:fldChar w:fldCharType="separate"/>
        </w:r>
        <w:r>
          <w:rPr>
            <w:noProof/>
            <w:webHidden/>
          </w:rPr>
          <w:t>50</w:t>
        </w:r>
        <w:r>
          <w:rPr>
            <w:noProof/>
            <w:webHidden/>
          </w:rPr>
          <w:fldChar w:fldCharType="end"/>
        </w:r>
      </w:hyperlink>
    </w:p>
    <w:p w:rsidR="00AB0D69" w:rsidRDefault="00AB0D69">
      <w:pPr>
        <w:pStyle w:val="Spistreci2"/>
        <w:tabs>
          <w:tab w:val="left" w:pos="1100"/>
          <w:tab w:val="right" w:leader="dot" w:pos="10456"/>
        </w:tabs>
        <w:rPr>
          <w:rFonts w:asciiTheme="minorHAnsi" w:eastAsiaTheme="minorEastAsia" w:hAnsiTheme="minorHAnsi" w:cstheme="minorBidi"/>
          <w:noProof/>
          <w:lang w:eastAsia="pl-PL"/>
        </w:rPr>
      </w:pPr>
      <w:hyperlink w:anchor="_Toc522009765" w:history="1">
        <w:r w:rsidRPr="00F924DB">
          <w:rPr>
            <w:rStyle w:val="Hipercze"/>
            <w:noProof/>
          </w:rPr>
          <w:t>10.3.</w:t>
        </w:r>
        <w:r>
          <w:rPr>
            <w:rFonts w:asciiTheme="minorHAnsi" w:eastAsiaTheme="minorEastAsia" w:hAnsiTheme="minorHAnsi" w:cstheme="minorBidi"/>
            <w:noProof/>
            <w:lang w:eastAsia="pl-PL"/>
          </w:rPr>
          <w:tab/>
        </w:r>
        <w:r w:rsidRPr="00F924DB">
          <w:rPr>
            <w:rStyle w:val="Hipercze"/>
            <w:noProof/>
          </w:rPr>
          <w:t>Przystosowanie do zmiany klimatu, łagodzenie zmiany klimatu oraz odporność na klęski żywiołowe</w:t>
        </w:r>
        <w:r>
          <w:rPr>
            <w:noProof/>
            <w:webHidden/>
          </w:rPr>
          <w:tab/>
        </w:r>
        <w:r>
          <w:rPr>
            <w:noProof/>
            <w:webHidden/>
          </w:rPr>
          <w:fldChar w:fldCharType="begin"/>
        </w:r>
        <w:r>
          <w:rPr>
            <w:noProof/>
            <w:webHidden/>
          </w:rPr>
          <w:instrText xml:space="preserve"> PAGEREF _Toc522009765 \h </w:instrText>
        </w:r>
        <w:r>
          <w:rPr>
            <w:noProof/>
            <w:webHidden/>
          </w:rPr>
        </w:r>
        <w:r>
          <w:rPr>
            <w:noProof/>
            <w:webHidden/>
          </w:rPr>
          <w:fldChar w:fldCharType="separate"/>
        </w:r>
        <w:r>
          <w:rPr>
            <w:noProof/>
            <w:webHidden/>
          </w:rPr>
          <w:t>51</w:t>
        </w:r>
        <w:r>
          <w:rPr>
            <w:noProof/>
            <w:webHidden/>
          </w:rPr>
          <w:fldChar w:fldCharType="end"/>
        </w:r>
      </w:hyperlink>
    </w:p>
    <w:p w:rsidR="00AB0D69" w:rsidRDefault="00AB0D69">
      <w:pPr>
        <w:pStyle w:val="Spistreci2"/>
        <w:tabs>
          <w:tab w:val="left" w:pos="1100"/>
          <w:tab w:val="right" w:leader="dot" w:pos="10456"/>
        </w:tabs>
        <w:rPr>
          <w:rFonts w:asciiTheme="minorHAnsi" w:eastAsiaTheme="minorEastAsia" w:hAnsiTheme="minorHAnsi" w:cstheme="minorBidi"/>
          <w:noProof/>
          <w:lang w:eastAsia="pl-PL"/>
        </w:rPr>
      </w:pPr>
      <w:hyperlink w:anchor="_Toc522009766" w:history="1">
        <w:r w:rsidRPr="00F924DB">
          <w:rPr>
            <w:rStyle w:val="Hipercze"/>
            <w:noProof/>
          </w:rPr>
          <w:t>10.4.</w:t>
        </w:r>
        <w:r>
          <w:rPr>
            <w:rFonts w:asciiTheme="minorHAnsi" w:eastAsiaTheme="minorEastAsia" w:hAnsiTheme="minorHAnsi" w:cstheme="minorBidi"/>
            <w:noProof/>
            <w:lang w:eastAsia="pl-PL"/>
          </w:rPr>
          <w:tab/>
        </w:r>
        <w:r w:rsidRPr="00F924DB">
          <w:rPr>
            <w:rStyle w:val="Hipercze"/>
            <w:noProof/>
          </w:rPr>
          <w:t>Wpływ na efektywne i racjonalne wykorzystywanie zasobów naturalnych oraz stosowanie rozwiązań przyjaznych środowisku</w:t>
        </w:r>
        <w:r>
          <w:rPr>
            <w:noProof/>
            <w:webHidden/>
          </w:rPr>
          <w:tab/>
        </w:r>
        <w:r>
          <w:rPr>
            <w:noProof/>
            <w:webHidden/>
          </w:rPr>
          <w:fldChar w:fldCharType="begin"/>
        </w:r>
        <w:r>
          <w:rPr>
            <w:noProof/>
            <w:webHidden/>
          </w:rPr>
          <w:instrText xml:space="preserve"> PAGEREF _Toc522009766 \h </w:instrText>
        </w:r>
        <w:r>
          <w:rPr>
            <w:noProof/>
            <w:webHidden/>
          </w:rPr>
        </w:r>
        <w:r>
          <w:rPr>
            <w:noProof/>
            <w:webHidden/>
          </w:rPr>
          <w:fldChar w:fldCharType="separate"/>
        </w:r>
        <w:r>
          <w:rPr>
            <w:noProof/>
            <w:webHidden/>
          </w:rPr>
          <w:t>52</w:t>
        </w:r>
        <w:r>
          <w:rPr>
            <w:noProof/>
            <w:webHidden/>
          </w:rPr>
          <w:fldChar w:fldCharType="end"/>
        </w:r>
      </w:hyperlink>
    </w:p>
    <w:p w:rsidR="00AB0D69" w:rsidRDefault="00AB0D69">
      <w:pPr>
        <w:pStyle w:val="Spistreci1"/>
        <w:tabs>
          <w:tab w:val="left" w:pos="660"/>
          <w:tab w:val="right" w:leader="dot" w:pos="10456"/>
        </w:tabs>
        <w:rPr>
          <w:rFonts w:asciiTheme="minorHAnsi" w:eastAsiaTheme="minorEastAsia" w:hAnsiTheme="minorHAnsi" w:cstheme="minorBidi"/>
          <w:noProof/>
          <w:lang w:eastAsia="pl-PL"/>
        </w:rPr>
      </w:pPr>
      <w:hyperlink w:anchor="_Toc522009767" w:history="1">
        <w:r w:rsidRPr="00F924DB">
          <w:rPr>
            <w:rStyle w:val="Hipercze"/>
            <w:noProof/>
          </w:rPr>
          <w:t>11.</w:t>
        </w:r>
        <w:r>
          <w:rPr>
            <w:rFonts w:asciiTheme="minorHAnsi" w:eastAsiaTheme="minorEastAsia" w:hAnsiTheme="minorHAnsi" w:cstheme="minorBidi"/>
            <w:noProof/>
            <w:lang w:eastAsia="pl-PL"/>
          </w:rPr>
          <w:tab/>
        </w:r>
        <w:r w:rsidRPr="00F924DB">
          <w:rPr>
            <w:rStyle w:val="Hipercze"/>
            <w:noProof/>
          </w:rPr>
          <w:t>Promocja projektu</w:t>
        </w:r>
        <w:r>
          <w:rPr>
            <w:noProof/>
            <w:webHidden/>
          </w:rPr>
          <w:tab/>
        </w:r>
        <w:r>
          <w:rPr>
            <w:noProof/>
            <w:webHidden/>
          </w:rPr>
          <w:fldChar w:fldCharType="begin"/>
        </w:r>
        <w:r>
          <w:rPr>
            <w:noProof/>
            <w:webHidden/>
          </w:rPr>
          <w:instrText xml:space="preserve"> PAGEREF _Toc522009767 \h </w:instrText>
        </w:r>
        <w:r>
          <w:rPr>
            <w:noProof/>
            <w:webHidden/>
          </w:rPr>
        </w:r>
        <w:r>
          <w:rPr>
            <w:noProof/>
            <w:webHidden/>
          </w:rPr>
          <w:fldChar w:fldCharType="separate"/>
        </w:r>
        <w:r>
          <w:rPr>
            <w:noProof/>
            <w:webHidden/>
          </w:rPr>
          <w:t>52</w:t>
        </w:r>
        <w:r>
          <w:rPr>
            <w:noProof/>
            <w:webHidden/>
          </w:rPr>
          <w:fldChar w:fldCharType="end"/>
        </w:r>
      </w:hyperlink>
    </w:p>
    <w:p w:rsidR="00AB0D69" w:rsidRDefault="00AB0D69">
      <w:pPr>
        <w:pStyle w:val="Spistreci1"/>
        <w:tabs>
          <w:tab w:val="left" w:pos="660"/>
          <w:tab w:val="right" w:leader="dot" w:pos="10456"/>
        </w:tabs>
        <w:rPr>
          <w:rFonts w:asciiTheme="minorHAnsi" w:eastAsiaTheme="minorEastAsia" w:hAnsiTheme="minorHAnsi" w:cstheme="minorBidi"/>
          <w:noProof/>
          <w:lang w:eastAsia="pl-PL"/>
        </w:rPr>
      </w:pPr>
      <w:hyperlink w:anchor="_Toc522009768" w:history="1">
        <w:r w:rsidRPr="00F924DB">
          <w:rPr>
            <w:rStyle w:val="Hipercze"/>
            <w:noProof/>
          </w:rPr>
          <w:t>12.</w:t>
        </w:r>
        <w:r>
          <w:rPr>
            <w:rFonts w:asciiTheme="minorHAnsi" w:eastAsiaTheme="minorEastAsia" w:hAnsiTheme="minorHAnsi" w:cstheme="minorBidi"/>
            <w:noProof/>
            <w:lang w:eastAsia="pl-PL"/>
          </w:rPr>
          <w:tab/>
        </w:r>
        <w:r w:rsidRPr="00F924DB">
          <w:rPr>
            <w:rStyle w:val="Hipercze"/>
            <w:noProof/>
          </w:rPr>
          <w:t>Wnioski i podsumowanie</w:t>
        </w:r>
        <w:r>
          <w:rPr>
            <w:noProof/>
            <w:webHidden/>
          </w:rPr>
          <w:tab/>
        </w:r>
        <w:r>
          <w:rPr>
            <w:noProof/>
            <w:webHidden/>
          </w:rPr>
          <w:fldChar w:fldCharType="begin"/>
        </w:r>
        <w:r>
          <w:rPr>
            <w:noProof/>
            <w:webHidden/>
          </w:rPr>
          <w:instrText xml:space="preserve"> PAGEREF _Toc522009768 \h </w:instrText>
        </w:r>
        <w:r>
          <w:rPr>
            <w:noProof/>
            <w:webHidden/>
          </w:rPr>
        </w:r>
        <w:r>
          <w:rPr>
            <w:noProof/>
            <w:webHidden/>
          </w:rPr>
          <w:fldChar w:fldCharType="separate"/>
        </w:r>
        <w:r>
          <w:rPr>
            <w:noProof/>
            <w:webHidden/>
          </w:rPr>
          <w:t>52</w:t>
        </w:r>
        <w:r>
          <w:rPr>
            <w:noProof/>
            <w:webHidden/>
          </w:rPr>
          <w:fldChar w:fldCharType="end"/>
        </w:r>
      </w:hyperlink>
    </w:p>
    <w:p w:rsidR="00AB0D69" w:rsidRDefault="00AB0D69">
      <w:pPr>
        <w:pStyle w:val="Spistreci1"/>
        <w:tabs>
          <w:tab w:val="left" w:pos="660"/>
          <w:tab w:val="right" w:leader="dot" w:pos="10456"/>
        </w:tabs>
        <w:rPr>
          <w:rFonts w:asciiTheme="minorHAnsi" w:eastAsiaTheme="minorEastAsia" w:hAnsiTheme="minorHAnsi" w:cstheme="minorBidi"/>
          <w:noProof/>
          <w:lang w:eastAsia="pl-PL"/>
        </w:rPr>
      </w:pPr>
      <w:hyperlink w:anchor="_Toc522009769" w:history="1">
        <w:r w:rsidRPr="00F924DB">
          <w:rPr>
            <w:rStyle w:val="Hipercze"/>
            <w:noProof/>
          </w:rPr>
          <w:t>13.</w:t>
        </w:r>
        <w:r>
          <w:rPr>
            <w:rFonts w:asciiTheme="minorHAnsi" w:eastAsiaTheme="minorEastAsia" w:hAnsiTheme="minorHAnsi" w:cstheme="minorBidi"/>
            <w:noProof/>
            <w:lang w:eastAsia="pl-PL"/>
          </w:rPr>
          <w:tab/>
        </w:r>
        <w:r w:rsidRPr="00F924DB">
          <w:rPr>
            <w:rStyle w:val="Hipercze"/>
            <w:noProof/>
          </w:rPr>
          <w:t>Oświadczenie</w:t>
        </w:r>
        <w:r>
          <w:rPr>
            <w:noProof/>
            <w:webHidden/>
          </w:rPr>
          <w:tab/>
        </w:r>
        <w:r>
          <w:rPr>
            <w:noProof/>
            <w:webHidden/>
          </w:rPr>
          <w:fldChar w:fldCharType="begin"/>
        </w:r>
        <w:r>
          <w:rPr>
            <w:noProof/>
            <w:webHidden/>
          </w:rPr>
          <w:instrText xml:space="preserve"> PAGEREF _Toc522009769 \h </w:instrText>
        </w:r>
        <w:r>
          <w:rPr>
            <w:noProof/>
            <w:webHidden/>
          </w:rPr>
        </w:r>
        <w:r>
          <w:rPr>
            <w:noProof/>
            <w:webHidden/>
          </w:rPr>
          <w:fldChar w:fldCharType="separate"/>
        </w:r>
        <w:r>
          <w:rPr>
            <w:noProof/>
            <w:webHidden/>
          </w:rPr>
          <w:t>53</w:t>
        </w:r>
        <w:r>
          <w:rPr>
            <w:noProof/>
            <w:webHidden/>
          </w:rPr>
          <w:fldChar w:fldCharType="end"/>
        </w:r>
      </w:hyperlink>
    </w:p>
    <w:p w:rsidR="00767543" w:rsidRDefault="00993140" w:rsidP="00043312">
      <w:r>
        <w:fldChar w:fldCharType="end"/>
      </w:r>
    </w:p>
    <w:p w:rsidR="00F9645B" w:rsidRDefault="00F9645B" w:rsidP="00043312"/>
    <w:p w:rsidR="00F9645B" w:rsidRDefault="00F9645B" w:rsidP="00043312"/>
    <w:p w:rsidR="00D96699" w:rsidRDefault="00D96699" w:rsidP="00043312"/>
    <w:p w:rsidR="00D96699" w:rsidRDefault="00D96699" w:rsidP="00043312"/>
    <w:p w:rsidR="00D96699" w:rsidRDefault="00D96699" w:rsidP="00043312"/>
    <w:p w:rsidR="00820A51" w:rsidRPr="00043312" w:rsidRDefault="00820A51" w:rsidP="00043312"/>
    <w:p w:rsidR="004620AF" w:rsidRDefault="004620AF" w:rsidP="00DB1ABB">
      <w:pPr>
        <w:pStyle w:val="Nagwek1"/>
      </w:pPr>
      <w:bookmarkStart w:id="0" w:name="_Toc522009724"/>
      <w:r>
        <w:t>Wstęp</w:t>
      </w:r>
      <w:bookmarkEnd w:id="0"/>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1" w:name="_Toc522009725"/>
      <w:r>
        <w:t>Słownik pojęć i skrótów</w:t>
      </w:r>
      <w:bookmarkEnd w:id="1"/>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r w:rsidR="002C64A0">
        <w:rPr>
          <w:i/>
          <w:iCs/>
          <w:sz w:val="24"/>
          <w:szCs w:val="24"/>
        </w:rPr>
        <w:t xml:space="preserve">Cost Effectiveness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DB1ABB">
        <w:rPr>
          <w:i/>
          <w:iCs/>
          <w:sz w:val="24"/>
          <w:szCs w:val="24"/>
        </w:rPr>
        <w:t>Dynamic Generation Cost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DB1ABB">
        <w:rPr>
          <w:rFonts w:eastAsia="Times New Roman"/>
          <w:bCs/>
          <w:i/>
          <w:iCs/>
          <w:kern w:val="32"/>
          <w:sz w:val="24"/>
          <w:szCs w:val="24"/>
        </w:rPr>
        <w:t>Discounted Cash Flows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r w:rsidRPr="00DB1ABB">
        <w:rPr>
          <w:rFonts w:eastAsia="Times New Roman"/>
          <w:bCs/>
          <w:i/>
          <w:iCs/>
          <w:kern w:val="32"/>
          <w:sz w:val="24"/>
          <w:szCs w:val="24"/>
        </w:rPr>
        <w:t>Cost-Benefit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DB1ABB">
        <w:rPr>
          <w:rFonts w:eastAsia="Times New Roman"/>
          <w:bCs/>
          <w:i/>
          <w:iCs/>
          <w:kern w:val="32"/>
          <w:sz w:val="24"/>
          <w:szCs w:val="24"/>
        </w:rPr>
        <w:t>benefits</w:t>
      </w:r>
      <w:r w:rsidRPr="00DB1ABB">
        <w:rPr>
          <w:rFonts w:eastAsia="Times New Roman"/>
          <w:bCs/>
          <w:kern w:val="32"/>
          <w:sz w:val="24"/>
          <w:szCs w:val="24"/>
        </w:rPr>
        <w:t xml:space="preserve">) i straty (koszty – ang. </w:t>
      </w:r>
      <w:r w:rsidRPr="00DB1ABB">
        <w:rPr>
          <w:rFonts w:eastAsia="Times New Roman"/>
          <w:bCs/>
          <w:i/>
          <w:iCs/>
          <w:kern w:val="32"/>
          <w:sz w:val="24"/>
          <w:szCs w:val="24"/>
        </w:rPr>
        <w:t>costs</w:t>
      </w:r>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w:t>
      </w:r>
      <w:r w:rsidR="00DB1ABB">
        <w:rPr>
          <w:rFonts w:eastAsia="Times New Roman"/>
          <w:bCs/>
          <w:kern w:val="32"/>
          <w:sz w:val="24"/>
          <w:szCs w:val="24"/>
        </w:rPr>
        <w:br/>
      </w:r>
      <w:r w:rsidRPr="00DB1ABB">
        <w:rPr>
          <w:rFonts w:eastAsia="Times New Roman"/>
          <w:bCs/>
          <w:kern w:val="32"/>
          <w:sz w:val="24"/>
          <w:szCs w:val="24"/>
        </w:rPr>
        <w:t xml:space="preserve">i korzyści można znaleźć 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r w:rsidRPr="008634BD">
        <w:rPr>
          <w:i/>
          <w:iCs/>
          <w:sz w:val="24"/>
          <w:szCs w:val="24"/>
        </w:rPr>
        <w:t>shadow prices</w:t>
      </w:r>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ex ante</w:t>
      </w:r>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r>
        <w:rPr>
          <w:rFonts w:eastAsia="Times New Roman"/>
          <w:b/>
          <w:bCs/>
          <w:kern w:val="32"/>
          <w:sz w:val="24"/>
          <w:szCs w:val="24"/>
          <w:lang w:val="en-US"/>
        </w:rPr>
        <w:t xml:space="preserve">Przewodnik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r w:rsidRPr="008C5155">
        <w:rPr>
          <w:i/>
          <w:iCs/>
          <w:kern w:val="32"/>
          <w:sz w:val="24"/>
          <w:szCs w:val="24"/>
        </w:rPr>
        <w:t>flat rate net revenue percentage</w:t>
      </w:r>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34A67" w:rsidRPr="008C5155" w:rsidRDefault="00234A67" w:rsidP="008C5155">
      <w:pPr>
        <w:jc w:val="both"/>
        <w:rPr>
          <w:sz w:val="24"/>
          <w:szCs w:val="24"/>
        </w:rPr>
      </w:pPr>
    </w:p>
    <w:p w:rsidR="00211BFC" w:rsidRPr="007754E4" w:rsidRDefault="00211BFC" w:rsidP="00211BFC">
      <w:pPr>
        <w:pStyle w:val="Nagwek1"/>
        <w:ind w:left="360"/>
        <w:jc w:val="both"/>
        <w:rPr>
          <w:rFonts w:ascii="Calibri" w:hAnsi="Calibri"/>
          <w:sz w:val="24"/>
          <w:szCs w:val="24"/>
        </w:rPr>
      </w:pPr>
    </w:p>
    <w:p w:rsidR="00211BFC" w:rsidRPr="007754E4" w:rsidRDefault="00211BFC" w:rsidP="00211BFC">
      <w:pPr>
        <w:jc w:val="both"/>
        <w:rPr>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0072A9" w:rsidRDefault="000072A9"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Pr="007754E4" w:rsidRDefault="003D25B4" w:rsidP="00A655D6">
      <w:pPr>
        <w:autoSpaceDE w:val="0"/>
        <w:autoSpaceDN w:val="0"/>
        <w:adjustRightInd w:val="0"/>
        <w:spacing w:after="0"/>
        <w:jc w:val="both"/>
        <w:rPr>
          <w:rFonts w:cs="Calibri,Italic"/>
          <w:iCs/>
          <w:sz w:val="24"/>
          <w:szCs w:val="24"/>
        </w:rPr>
      </w:pPr>
    </w:p>
    <w:p w:rsidR="00A71D18" w:rsidRDefault="00A71D18" w:rsidP="009C03B2">
      <w:pPr>
        <w:pStyle w:val="Nagwek1"/>
        <w:numPr>
          <w:ilvl w:val="0"/>
          <w:numId w:val="3"/>
        </w:numPr>
        <w:ind w:left="567" w:hanging="567"/>
      </w:pPr>
      <w:bookmarkStart w:id="2" w:name="_Toc522009726"/>
      <w:r>
        <w:t>Identyfikacja projektu</w:t>
      </w:r>
      <w:bookmarkEnd w:id="2"/>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3" w:name="_Toc522009727"/>
      <w:r w:rsidRPr="00A71D18">
        <w:rPr>
          <w:i w:val="0"/>
        </w:rPr>
        <w:t>Podstawowe dane o projekcie</w:t>
      </w:r>
      <w:bookmarkEnd w:id="3"/>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4" w:name="_Toc522009728"/>
      <w:r w:rsidRPr="00BE57B0">
        <w:rPr>
          <w:i w:val="0"/>
        </w:rPr>
        <w:t>Opis stanu aktualn</w:t>
      </w:r>
      <w:r w:rsidR="0094244F">
        <w:rPr>
          <w:i w:val="0"/>
        </w:rPr>
        <w:t>ego (przed realizacją</w:t>
      </w:r>
      <w:r w:rsidRPr="00BE57B0">
        <w:rPr>
          <w:i w:val="0"/>
        </w:rPr>
        <w:t>)</w:t>
      </w:r>
      <w:bookmarkEnd w:id="4"/>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5" w:name="_Toc522009729"/>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5"/>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Cross-financing</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itp</w:t>
      </w:r>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6B09ED" w:rsidRPr="00361643" w:rsidRDefault="00DD7B6B" w:rsidP="008F740D">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projekcie kategoria kosztów nie może przekraczać 40% kosztów kwalifikowan</w:t>
      </w:r>
      <w:r w:rsidR="008F10CC">
        <w:rPr>
          <w:b/>
          <w:sz w:val="24"/>
          <w:szCs w:val="24"/>
        </w:rPr>
        <w:t>l</w:t>
      </w:r>
      <w:r w:rsidRPr="00361643">
        <w:rPr>
          <w:b/>
          <w:sz w:val="24"/>
          <w:szCs w:val="24"/>
        </w:rPr>
        <w:t>ych</w:t>
      </w:r>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p>
    <w:p w:rsidR="000855C6" w:rsidRPr="00361643" w:rsidRDefault="000855C6" w:rsidP="00361643">
      <w:pPr>
        <w:pStyle w:val="Bezodstpw"/>
        <w:spacing w:line="276" w:lineRule="auto"/>
        <w:jc w:val="both"/>
        <w:rPr>
          <w:b/>
          <w:sz w:val="24"/>
          <w:szCs w:val="24"/>
        </w:rPr>
      </w:pPr>
      <w:r w:rsidRPr="00361643">
        <w:rPr>
          <w:b/>
          <w:sz w:val="24"/>
          <w:szCs w:val="24"/>
        </w:rPr>
        <w:t xml:space="preserve">W działaniu 3.4. i 6.2 </w:t>
      </w:r>
      <w:r w:rsidR="00361643" w:rsidRPr="00361643">
        <w:rPr>
          <w:b/>
          <w:sz w:val="24"/>
          <w:szCs w:val="24"/>
        </w:rPr>
        <w:t>i</w:t>
      </w:r>
      <w:r w:rsidRPr="00361643">
        <w:rPr>
          <w:b/>
          <w:sz w:val="24"/>
          <w:szCs w:val="24"/>
        </w:rPr>
        <w:t>nwestycje w drogi lokalne lub regionalne</w:t>
      </w:r>
      <w:r w:rsidRPr="00361643">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361643">
        <w:rPr>
          <w:b/>
          <w:sz w:val="24"/>
          <w:szCs w:val="24"/>
        </w:rPr>
        <w:t>maksymalnie 40% całkowitych kosztów kwalifikowa</w:t>
      </w:r>
      <w:r w:rsidR="008F10CC">
        <w:rPr>
          <w:b/>
          <w:sz w:val="24"/>
          <w:szCs w:val="24"/>
        </w:rPr>
        <w:t>l</w:t>
      </w:r>
      <w:r w:rsidRPr="00361643">
        <w:rPr>
          <w:b/>
          <w:sz w:val="24"/>
          <w:szCs w:val="24"/>
        </w:rPr>
        <w:t>nych projektu.</w:t>
      </w:r>
    </w:p>
    <w:p w:rsidR="00043312" w:rsidRPr="0061432B"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8A02D2" w:rsidRPr="008A02D2" w:rsidRDefault="008A02D2" w:rsidP="00043312">
      <w:pPr>
        <w:pStyle w:val="Nagwek2"/>
        <w:numPr>
          <w:ilvl w:val="1"/>
          <w:numId w:val="4"/>
        </w:numPr>
        <w:rPr>
          <w:i w:val="0"/>
        </w:rPr>
      </w:pPr>
      <w:r w:rsidRPr="008A02D2">
        <w:rPr>
          <w:i w:val="0"/>
        </w:rPr>
        <w:t xml:space="preserve"> </w:t>
      </w:r>
      <w:bookmarkStart w:id="6" w:name="_Toc522009730"/>
      <w:r w:rsidRPr="008A02D2">
        <w:rPr>
          <w:i w:val="0"/>
        </w:rPr>
        <w:t>Lokalizacja projektu</w:t>
      </w:r>
      <w:bookmarkEnd w:id="6"/>
    </w:p>
    <w:p w:rsidR="008A02D2" w:rsidRPr="005C0085" w:rsidRDefault="008A02D2" w:rsidP="005C0085">
      <w:pPr>
        <w:pStyle w:val="Bezodstpw"/>
      </w:pPr>
    </w:p>
    <w:p w:rsidR="00926142" w:rsidRPr="0070183D" w:rsidRDefault="00967798" w:rsidP="006D62C4">
      <w:pPr>
        <w:pStyle w:val="Bezodstpw"/>
        <w:spacing w:line="276" w:lineRule="auto"/>
        <w:jc w:val="both"/>
        <w:rPr>
          <w:rFonts w:eastAsia="Times New Roman" w:cs="Arial"/>
          <w:color w:val="FF0000"/>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Hydroportalu (</w:t>
      </w:r>
      <w:hyperlink r:id="rId12"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055119" w:rsidRPr="00F96C73" w:rsidRDefault="00055119" w:rsidP="00055119">
      <w:pPr>
        <w:pStyle w:val="Nagwek2"/>
        <w:numPr>
          <w:ilvl w:val="1"/>
          <w:numId w:val="4"/>
        </w:numPr>
        <w:rPr>
          <w:rFonts w:eastAsia="ArialNarrow,Bold"/>
          <w:i w:val="0"/>
        </w:rPr>
      </w:pPr>
      <w:bookmarkStart w:id="7" w:name="_Toc522009731"/>
      <w:r>
        <w:rPr>
          <w:rFonts w:eastAsia="ArialNarrow,Bold"/>
          <w:i w:val="0"/>
        </w:rPr>
        <w:t>Analiza pomocy publicznej</w:t>
      </w:r>
      <w:bookmarkEnd w:id="7"/>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Höfner i Elser przeciwko Macrotron GmbH, Zb. Orz. TS 1991, s. I-1979). Co więcej, nie ma znaczenia fakt, iż są to podmioty nienastawione na zysk (</w:t>
      </w:r>
      <w:r w:rsidRPr="002469D6">
        <w:rPr>
          <w:rStyle w:val="Uwydatnienie"/>
          <w:sz w:val="24"/>
          <w:szCs w:val="24"/>
        </w:rPr>
        <w:t>non-profit organisation</w:t>
      </w:r>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Pr="002469D6"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8" w:name="_ftnref2"/>
      <w:bookmarkEnd w:id="8"/>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5C0085" w:rsidRPr="00B94F29" w:rsidRDefault="00CE685B" w:rsidP="00B94F29">
      <w:pPr>
        <w:jc w:val="both"/>
        <w:rPr>
          <w:b/>
          <w:sz w:val="24"/>
          <w:szCs w:val="24"/>
        </w:rPr>
      </w:pPr>
      <w:bookmarkStart w:id="9" w:name="_ftn2"/>
      <w:bookmarkEnd w:id="9"/>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zachęty, zostały opisane w artykule 6 </w:t>
      </w:r>
      <w:r w:rsidR="00933D17" w:rsidRPr="00933D17">
        <w:rPr>
          <w:b/>
          <w:sz w:val="24"/>
          <w:szCs w:val="24"/>
        </w:rPr>
        <w:t xml:space="preserve">rozporządzenia </w:t>
      </w:r>
      <w:r w:rsidR="00A02516" w:rsidRPr="00933D17">
        <w:rPr>
          <w:b/>
          <w:sz w:val="24"/>
          <w:szCs w:val="24"/>
        </w:rPr>
        <w:t xml:space="preserve">ogólnego </w:t>
      </w:r>
      <w:r w:rsidR="00933D17" w:rsidRPr="00933D17">
        <w:rPr>
          <w:b/>
          <w:sz w:val="24"/>
          <w:szCs w:val="24"/>
        </w:rPr>
        <w:t>w sprawie wyłączeń blokowych.</w:t>
      </w:r>
    </w:p>
    <w:p w:rsidR="00B94195" w:rsidRPr="00676B45" w:rsidRDefault="00D326D4" w:rsidP="0056093D">
      <w:pPr>
        <w:pStyle w:val="Nagwek1"/>
        <w:numPr>
          <w:ilvl w:val="0"/>
          <w:numId w:val="4"/>
        </w:numPr>
      </w:pPr>
      <w:bookmarkStart w:id="10" w:name="_Toc522009732"/>
      <w:r>
        <w:t>Definicja celów projektu</w:t>
      </w:r>
      <w:bookmarkEnd w:id="10"/>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11" w:name="_Toc522009733"/>
      <w:r w:rsidRPr="005421A5">
        <w:rPr>
          <w:i w:val="0"/>
        </w:rPr>
        <w:t>Wskaźniki r</w:t>
      </w:r>
      <w:r>
        <w:rPr>
          <w:i w:val="0"/>
        </w:rPr>
        <w:t>ealizacji celów p</w:t>
      </w:r>
      <w:r w:rsidRPr="005421A5">
        <w:rPr>
          <w:i w:val="0"/>
        </w:rPr>
        <w:t>rojektu</w:t>
      </w:r>
      <w:bookmarkEnd w:id="11"/>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2" w:name="_Toc522009734"/>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2"/>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3" w:name="_Toc522009735"/>
      <w:r>
        <w:t>I</w:t>
      </w:r>
      <w:r w:rsidR="00C97013">
        <w:t>nstytucjonalna i prawna</w:t>
      </w:r>
      <w:r>
        <w:t xml:space="preserve"> wykonalność projektu</w:t>
      </w:r>
      <w:bookmarkEnd w:id="13"/>
    </w:p>
    <w:p w:rsidR="00F6508B" w:rsidRPr="004D6A3D" w:rsidRDefault="00DF69F8" w:rsidP="00DF69F8">
      <w:pPr>
        <w:pStyle w:val="Nagwek2"/>
        <w:numPr>
          <w:ilvl w:val="1"/>
          <w:numId w:val="4"/>
        </w:numPr>
        <w:rPr>
          <w:i w:val="0"/>
        </w:rPr>
      </w:pPr>
      <w:bookmarkStart w:id="14" w:name="_Toc522009736"/>
      <w:r w:rsidRPr="004D6A3D">
        <w:rPr>
          <w:i w:val="0"/>
        </w:rPr>
        <w:t>Analiza instytucjonalna</w:t>
      </w:r>
      <w:bookmarkEnd w:id="14"/>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5" w:name="_Toc522009737"/>
      <w:r w:rsidRPr="004D6A3D">
        <w:rPr>
          <w:i w:val="0"/>
        </w:rPr>
        <w:t>A</w:t>
      </w:r>
      <w:r w:rsidR="00E8388C">
        <w:rPr>
          <w:i w:val="0"/>
        </w:rPr>
        <w:t>naliza prawna</w:t>
      </w:r>
      <w:bookmarkEnd w:id="15"/>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6" w:name="_Toc522009738"/>
      <w:r w:rsidRPr="004D6A3D">
        <w:rPr>
          <w:i w:val="0"/>
        </w:rPr>
        <w:t>A</w:t>
      </w:r>
      <w:r>
        <w:rPr>
          <w:i w:val="0"/>
        </w:rPr>
        <w:t>naliza trwałości</w:t>
      </w:r>
      <w:bookmarkEnd w:id="16"/>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7" w:name="_Toc522009739"/>
      <w:r>
        <w:rPr>
          <w:i w:val="0"/>
        </w:rPr>
        <w:t>Harmonogram wdrożenia projektu</w:t>
      </w:r>
      <w:bookmarkEnd w:id="17"/>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8" w:name="_Toc522009740"/>
      <w:r>
        <w:t>Analiza wykonalności, analiza popytu oraz analiza opcji</w:t>
      </w:r>
      <w:bookmarkEnd w:id="18"/>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19" w:name="_Toc522009741"/>
      <w:r w:rsidRPr="008141CD">
        <w:rPr>
          <w:i w:val="0"/>
        </w:rPr>
        <w:t>Analiza wykonalności</w:t>
      </w:r>
      <w:bookmarkEnd w:id="19"/>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20" w:name="_Toc522009742"/>
      <w:r w:rsidRPr="007E72A6">
        <w:rPr>
          <w:i w:val="0"/>
        </w:rPr>
        <w:t>Analiza popytu</w:t>
      </w:r>
      <w:bookmarkEnd w:id="20"/>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1" w:name="_Toc522009743"/>
      <w:r w:rsidRPr="00FF3AB1">
        <w:rPr>
          <w:i w:val="0"/>
        </w:rPr>
        <w:t>Analiza opcji</w:t>
      </w:r>
      <w:r w:rsidR="00FF3AB1" w:rsidRPr="00FF3AB1">
        <w:rPr>
          <w:i w:val="0"/>
        </w:rPr>
        <w:t xml:space="preserve"> </w:t>
      </w:r>
      <w:r w:rsidR="00FF3AB1">
        <w:rPr>
          <w:i w:val="0"/>
        </w:rPr>
        <w:t>(rozwiązań alternatywnych)</w:t>
      </w:r>
      <w:bookmarkEnd w:id="21"/>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1"/>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2"/>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0251C6" w:rsidRDefault="000251C6" w:rsidP="000251C6">
      <w:pPr>
        <w:pStyle w:val="Bezodstpw"/>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3"/>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4"/>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010" cy="846455"/>
                    </a:xfrm>
                    <a:prstGeom prst="rect">
                      <a:avLst/>
                    </a:prstGeom>
                    <a:noFill/>
                    <a:ln>
                      <a:noFill/>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KI</w:t>
      </w:r>
      <w:r w:rsidRPr="00333700">
        <w:rPr>
          <w:sz w:val="24"/>
          <w:szCs w:val="24"/>
        </w:rPr>
        <w:t>t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KEt</w:t>
      </w:r>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(KI</w:t>
      </w:r>
      <w:r w:rsidRPr="00911E45">
        <w:rPr>
          <w:i/>
          <w:sz w:val="24"/>
          <w:szCs w:val="24"/>
          <w:vertAlign w:val="subscript"/>
        </w:rPr>
        <w:t>t</w:t>
      </w:r>
      <w:r w:rsidRPr="00911E45">
        <w:rPr>
          <w:i/>
          <w:sz w:val="24"/>
          <w:szCs w:val="24"/>
        </w:rPr>
        <w:t>)</w:t>
      </w:r>
      <w:r w:rsidRPr="00911E45">
        <w:rPr>
          <w:sz w:val="24"/>
          <w:szCs w:val="24"/>
        </w:rPr>
        <w:t xml:space="preserve">, kosztów eksploatacyjnych </w:t>
      </w:r>
      <w:r w:rsidRPr="00911E45">
        <w:rPr>
          <w:i/>
          <w:sz w:val="24"/>
          <w:szCs w:val="24"/>
        </w:rPr>
        <w:t>(KE</w:t>
      </w:r>
      <w:r w:rsidRPr="00911E45">
        <w:rPr>
          <w:i/>
          <w:sz w:val="24"/>
          <w:szCs w:val="24"/>
          <w:vertAlign w:val="subscript"/>
        </w:rPr>
        <w:t>t</w:t>
      </w:r>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(EE</w:t>
      </w:r>
      <w:r w:rsidRPr="00911E45">
        <w:rPr>
          <w:i/>
          <w:sz w:val="24"/>
          <w:szCs w:val="24"/>
          <w:vertAlign w:val="subscript"/>
        </w:rPr>
        <w:t>t</w:t>
      </w:r>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4690" cy="720090"/>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934085"/>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3774440" cy="117729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4440" cy="1177290"/>
                    </a:xfrm>
                    <a:prstGeom prst="rect">
                      <a:avLst/>
                    </a:prstGeom>
                    <a:noFill/>
                    <a:ln>
                      <a:noFill/>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2" w:name="_Toc522009744"/>
      <w:r>
        <w:rPr>
          <w:i w:val="0"/>
        </w:rPr>
        <w:t>Zastosowane rozwiązanie</w:t>
      </w:r>
      <w:bookmarkEnd w:id="22"/>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3" w:name="_Toc522009745"/>
      <w:r>
        <w:t>Analiza finansowa</w:t>
      </w:r>
      <w:bookmarkEnd w:id="23"/>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4" w:name="_Toc522009746"/>
      <w:r w:rsidRPr="00B10E31">
        <w:rPr>
          <w:i w:val="0"/>
        </w:rPr>
        <w:t>Nakłady inwestycyjne</w:t>
      </w:r>
      <w:bookmarkEnd w:id="24"/>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w WoD</w:t>
      </w:r>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80373F" w:rsidRPr="00B10E31" w:rsidRDefault="0080373F" w:rsidP="00B10E31">
      <w:pPr>
        <w:pStyle w:val="Nagwek2"/>
        <w:numPr>
          <w:ilvl w:val="1"/>
          <w:numId w:val="4"/>
        </w:numPr>
        <w:rPr>
          <w:i w:val="0"/>
        </w:rPr>
      </w:pPr>
      <w:bookmarkStart w:id="25" w:name="_Toc522009747"/>
      <w:r w:rsidRPr="00B10E31">
        <w:rPr>
          <w:i w:val="0"/>
        </w:rPr>
        <w:t>Ogólna metodyka przeprowadzania analizy finansowej</w:t>
      </w:r>
      <w:bookmarkEnd w:id="25"/>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6" w:name="_Toc522009748"/>
      <w:r>
        <w:rPr>
          <w:i w:val="0"/>
        </w:rPr>
        <w:t>Założenia do</w:t>
      </w:r>
      <w:r w:rsidR="00281277" w:rsidRPr="0080373F">
        <w:rPr>
          <w:i w:val="0"/>
        </w:rPr>
        <w:t xml:space="preserve"> analizy finansowej</w:t>
      </w:r>
      <w:bookmarkEnd w:id="26"/>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5"/>
      </w:r>
      <w:r w:rsidRPr="009356A8">
        <w:rPr>
          <w:rFonts w:ascii="Calibri" w:hAnsi="Calibri"/>
        </w:rPr>
        <w:t>, zgodnie z którymi wskaźnik inflacji w okresie 2025-2040 będzie konwergował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6"/>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7"/>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7" w:name="_Toc522009749"/>
      <w:r>
        <w:rPr>
          <w:i w:val="0"/>
        </w:rPr>
        <w:t>Określenie przychodów</w:t>
      </w:r>
      <w:bookmarkEnd w:id="27"/>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8"/>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041F80" w:rsidRPr="00041F80" w:rsidRDefault="00041F80" w:rsidP="00041F80">
      <w:pPr>
        <w:pStyle w:val="Nagwek2"/>
        <w:numPr>
          <w:ilvl w:val="1"/>
          <w:numId w:val="4"/>
        </w:numPr>
        <w:rPr>
          <w:i w:val="0"/>
        </w:rPr>
      </w:pPr>
      <w:bookmarkStart w:id="28" w:name="_Toc522009750"/>
      <w:r>
        <w:rPr>
          <w:i w:val="0"/>
        </w:rPr>
        <w:t>Metoda luki w finansowaniu</w:t>
      </w:r>
      <w:bookmarkEnd w:id="28"/>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9"/>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0"/>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1"/>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r w:rsidRPr="00ED6572">
        <w:rPr>
          <w:rFonts w:eastAsia="Times New Roman" w:cs="Arial"/>
          <w:sz w:val="24"/>
          <w:szCs w:val="24"/>
          <w:lang w:val="en-US" w:eastAsia="pl-PL"/>
        </w:rPr>
        <w:t xml:space="preserve">gdzie: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ECR = EC * R</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7127E2" w:rsidRPr="007127E2" w:rsidRDefault="007127E2" w:rsidP="007127E2">
      <w:pPr>
        <w:pStyle w:val="Nagwek2"/>
        <w:numPr>
          <w:ilvl w:val="1"/>
          <w:numId w:val="4"/>
        </w:numPr>
        <w:rPr>
          <w:b w:val="0"/>
          <w:i w:val="0"/>
        </w:rPr>
      </w:pPr>
      <w:bookmarkStart w:id="29" w:name="_Toc522009751"/>
      <w:r w:rsidRPr="007127E2">
        <w:rPr>
          <w:i w:val="0"/>
        </w:rPr>
        <w:t>Metoda zryczałtowanych procentowych staw</w:t>
      </w:r>
      <w:r>
        <w:rPr>
          <w:i w:val="0"/>
        </w:rPr>
        <w:t>ek</w:t>
      </w:r>
      <w:r w:rsidRPr="007127E2">
        <w:rPr>
          <w:i w:val="0"/>
        </w:rPr>
        <w:t xml:space="preserve"> dochodów</w:t>
      </w:r>
      <w:bookmarkEnd w:id="29"/>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454"/>
        <w:gridCol w:w="2562"/>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2"/>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Dotacja UE = ECR * Max CRpa</w:t>
      </w:r>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CRpa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Max CRpa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30" w:name="_Toc522009752"/>
      <w:r>
        <w:rPr>
          <w:i w:val="0"/>
        </w:rPr>
        <w:t xml:space="preserve">Wskaźniki efektywności </w:t>
      </w:r>
      <w:r w:rsidRPr="0080373F">
        <w:rPr>
          <w:i w:val="0"/>
        </w:rPr>
        <w:t>finansowej</w:t>
      </w:r>
      <w:bookmarkEnd w:id="30"/>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9F3632" w:rsidRPr="0080373F" w:rsidRDefault="009F3632" w:rsidP="009F3632">
      <w:pPr>
        <w:pStyle w:val="Nagwek2"/>
        <w:numPr>
          <w:ilvl w:val="1"/>
          <w:numId w:val="4"/>
        </w:numPr>
        <w:rPr>
          <w:i w:val="0"/>
        </w:rPr>
      </w:pPr>
      <w:bookmarkStart w:id="31" w:name="_Toc522009753"/>
      <w:r>
        <w:rPr>
          <w:i w:val="0"/>
        </w:rPr>
        <w:t xml:space="preserve">Analiza trwałości </w:t>
      </w:r>
      <w:r w:rsidRPr="0080373F">
        <w:rPr>
          <w:i w:val="0"/>
        </w:rPr>
        <w:t>finansowej</w:t>
      </w:r>
      <w:bookmarkEnd w:id="31"/>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2" w:name="_Toc522009754"/>
      <w:r>
        <w:t>Analiza kosztów i korzyści</w:t>
      </w:r>
      <w:bookmarkEnd w:id="32"/>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3"/>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3" w:name="_Toc522009755"/>
      <w:r>
        <w:t>Analiza wrażliwości i ryzyka</w:t>
      </w:r>
      <w:bookmarkEnd w:id="33"/>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D210FD" w:rsidRPr="0061432B" w:rsidRDefault="00D210FD" w:rsidP="00C522A0">
      <w:pPr>
        <w:pStyle w:val="Bezodstpw"/>
        <w:spacing w:line="276" w:lineRule="auto"/>
        <w:jc w:val="both"/>
        <w:rPr>
          <w:sz w:val="24"/>
          <w:szCs w:val="24"/>
        </w:rPr>
      </w:pPr>
    </w:p>
    <w:p w:rsidR="00CA7B10" w:rsidRDefault="00CA7B10" w:rsidP="00CA7B10">
      <w:pPr>
        <w:pStyle w:val="Nagwek1"/>
        <w:numPr>
          <w:ilvl w:val="0"/>
          <w:numId w:val="4"/>
        </w:numPr>
      </w:pPr>
      <w:bookmarkStart w:id="34" w:name="_Toc522009756"/>
      <w:r>
        <w:t xml:space="preserve">Analizy </w:t>
      </w:r>
      <w:r w:rsidR="00CD0B49">
        <w:t xml:space="preserve">i informacje </w:t>
      </w:r>
      <w:r>
        <w:t xml:space="preserve">specyficzne dla danego rodzaju </w:t>
      </w:r>
      <w:r w:rsidR="0059311F">
        <w:t xml:space="preserve">projektu </w:t>
      </w:r>
      <w:r>
        <w:t>lub sektora</w:t>
      </w:r>
      <w:bookmarkEnd w:id="34"/>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430277" w:rsidRPr="0008254A" w:rsidRDefault="00CD0B49" w:rsidP="0008254A">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B76479" w:rsidRPr="00B76479" w:rsidRDefault="00D210FD" w:rsidP="00B76479">
      <w:pPr>
        <w:pStyle w:val="Nagwek2"/>
        <w:numPr>
          <w:ilvl w:val="1"/>
          <w:numId w:val="4"/>
        </w:numPr>
        <w:rPr>
          <w:i w:val="0"/>
        </w:rPr>
      </w:pPr>
      <w:bookmarkStart w:id="35" w:name="_Toc450545176"/>
      <w:bookmarkStart w:id="36" w:name="_Toc522009757"/>
      <w:r w:rsidRPr="00B538DA">
        <w:rPr>
          <w:i w:val="0"/>
        </w:rPr>
        <w:t>Działanie 7.4 —</w:t>
      </w:r>
      <w:r w:rsidRPr="00B538DA">
        <w:rPr>
          <w:i w:val="0"/>
          <w:sz w:val="23"/>
          <w:szCs w:val="23"/>
        </w:rPr>
        <w:t xml:space="preserve"> </w:t>
      </w:r>
      <w:r w:rsidRPr="00B538DA">
        <w:rPr>
          <w:i w:val="0"/>
        </w:rPr>
        <w:t>Rozwój infrastruktury edukacyjnej i szkoleniowe</w:t>
      </w:r>
      <w:bookmarkEnd w:id="35"/>
      <w:r w:rsidR="00B76479">
        <w:rPr>
          <w:i w:val="0"/>
        </w:rPr>
        <w:t>j</w:t>
      </w:r>
      <w:bookmarkEnd w:id="36"/>
    </w:p>
    <w:p w:rsidR="00B76479" w:rsidRDefault="00B76479" w:rsidP="00B76479">
      <w:pPr>
        <w:pStyle w:val="podpunkt"/>
        <w:numPr>
          <w:ilvl w:val="0"/>
          <w:numId w:val="0"/>
        </w:numPr>
        <w:ind w:left="1080" w:hanging="720"/>
        <w:jc w:val="both"/>
        <w:rPr>
          <w:sz w:val="24"/>
          <w:szCs w:val="24"/>
        </w:rPr>
      </w:pPr>
    </w:p>
    <w:p w:rsidR="00B538DA" w:rsidRPr="00D96699" w:rsidRDefault="00B538DA" w:rsidP="00B76479">
      <w:pPr>
        <w:pStyle w:val="podpunkt"/>
        <w:numPr>
          <w:ilvl w:val="2"/>
          <w:numId w:val="33"/>
        </w:numPr>
        <w:ind w:left="709" w:hanging="709"/>
        <w:rPr>
          <w:sz w:val="24"/>
          <w:szCs w:val="24"/>
        </w:rPr>
      </w:pPr>
      <w:bookmarkStart w:id="37" w:name="_Toc522009758"/>
      <w:r w:rsidRPr="00D96699">
        <w:rPr>
          <w:sz w:val="24"/>
          <w:szCs w:val="24"/>
        </w:rPr>
        <w:t>T</w:t>
      </w:r>
      <w:r w:rsidRPr="00D96699">
        <w:t xml:space="preserve">yp projektu: </w:t>
      </w:r>
      <w:r w:rsidRPr="00D96699">
        <w:rPr>
          <w:sz w:val="24"/>
          <w:szCs w:val="24"/>
        </w:rPr>
        <w:t>Infrastruktura edukacyjna na potrzeby edukacji szkolnej na poziomie podstawowym</w:t>
      </w:r>
      <w:bookmarkEnd w:id="37"/>
      <w:r w:rsidRPr="00D96699">
        <w:rPr>
          <w:sz w:val="24"/>
          <w:szCs w:val="24"/>
        </w:rPr>
        <w:t xml:space="preserve"> </w:t>
      </w:r>
      <w:r w:rsidRPr="00D96699">
        <w:rPr>
          <w:sz w:val="24"/>
          <w:szCs w:val="24"/>
        </w:rPr>
        <w:br/>
      </w:r>
    </w:p>
    <w:p w:rsidR="00B76479" w:rsidRPr="00564A3F" w:rsidRDefault="007F0D67" w:rsidP="007F0D67">
      <w:pPr>
        <w:pStyle w:val="podpunkt"/>
        <w:numPr>
          <w:ilvl w:val="0"/>
          <w:numId w:val="0"/>
        </w:numPr>
        <w:rPr>
          <w:sz w:val="24"/>
          <w:szCs w:val="24"/>
        </w:rPr>
      </w:pPr>
      <w:bookmarkStart w:id="38" w:name="_Toc522009759"/>
      <w:r w:rsidRPr="00D96699">
        <w:rPr>
          <w:sz w:val="24"/>
          <w:szCs w:val="24"/>
        </w:rPr>
        <w:t>W</w:t>
      </w:r>
      <w:r w:rsidR="00B76479" w:rsidRPr="00D96699">
        <w:rPr>
          <w:sz w:val="24"/>
          <w:szCs w:val="24"/>
        </w:rPr>
        <w:t xml:space="preserve"> przedmiotowym konkursie przewidzia</w:t>
      </w:r>
      <w:r w:rsidRPr="00D96699">
        <w:rPr>
          <w:sz w:val="24"/>
          <w:szCs w:val="24"/>
        </w:rPr>
        <w:t xml:space="preserve">no jedynie jeden typ projektów dotyczący edukacji szkolnej na poziomie podstawowym </w:t>
      </w:r>
      <w:r w:rsidR="00DB675B" w:rsidRPr="00D96699">
        <w:rPr>
          <w:sz w:val="24"/>
          <w:szCs w:val="24"/>
        </w:rPr>
        <w:t>(kod kategorii interwencji 051).</w:t>
      </w:r>
      <w:bookmarkEnd w:id="38"/>
    </w:p>
    <w:p w:rsidR="00D210FD" w:rsidRPr="00564A3F" w:rsidRDefault="00D210FD" w:rsidP="00D210FD">
      <w:pPr>
        <w:jc w:val="both"/>
        <w:rPr>
          <w:b/>
          <w:sz w:val="24"/>
          <w:szCs w:val="24"/>
        </w:rPr>
      </w:pPr>
      <w:r w:rsidRPr="00564A3F">
        <w:rPr>
          <w:b/>
          <w:sz w:val="24"/>
          <w:szCs w:val="24"/>
        </w:rPr>
        <w:t xml:space="preserve">9.1.1.1 Pierwszym warunkiem </w:t>
      </w:r>
      <w:r w:rsidRPr="00564A3F">
        <w:rPr>
          <w:b/>
          <w:i/>
          <w:sz w:val="24"/>
          <w:szCs w:val="24"/>
        </w:rPr>
        <w:t>kwalifikowalności projektu</w:t>
      </w:r>
      <w:r w:rsidRPr="00564A3F">
        <w:rPr>
          <w:b/>
          <w:sz w:val="24"/>
          <w:szCs w:val="24"/>
        </w:rPr>
        <w:t xml:space="preserve"> jest jego komplementarność </w:t>
      </w:r>
      <w:r w:rsidRPr="00564A3F">
        <w:rPr>
          <w:b/>
          <w:sz w:val="24"/>
          <w:szCs w:val="24"/>
        </w:rPr>
        <w:br/>
        <w:t>z przedsięwzięciami wspomaganymi z EFS.</w:t>
      </w:r>
    </w:p>
    <w:p w:rsidR="00D210FD" w:rsidRPr="00564A3F" w:rsidRDefault="00D210FD" w:rsidP="00D210FD">
      <w:pPr>
        <w:jc w:val="both"/>
        <w:rPr>
          <w:sz w:val="24"/>
          <w:szCs w:val="24"/>
        </w:rPr>
      </w:pPr>
      <w:r w:rsidRPr="00564A3F">
        <w:rPr>
          <w:sz w:val="24"/>
          <w:szCs w:val="24"/>
        </w:rPr>
        <w:t xml:space="preserve">Wsparcie infrastruktury finansowane z Europejskiego Funduszu Rozwoju Regionalnego jest dopuszczalne wyłącznie jako uzupełnienie działań realizowanych z Europejskiego Funduszu Społecznego i kiedy jest ono niezbędne do osiągnięcia celów CT 10. Wnioskodawca winien wykazać, że projekt ubiegający się </w:t>
      </w:r>
      <w:r w:rsidRPr="00564A3F">
        <w:rPr>
          <w:sz w:val="24"/>
          <w:szCs w:val="24"/>
        </w:rPr>
        <w:br/>
        <w:t>o dofinansowane z  EFRR będzie realizowany w ścisłym związku z działaniami podejmowanymi w ramach EFS. W szczególności należy wskazać, z którymi projektami EFS będzie komplementarne opisane we wniosku przedsięwzięcie. Należy przedstawić zwięzłą charakterystykę tych projektów, wskazując na czym w danym przypadku polega komplementarność oraz m.in. ich rzeczywisty bądź przewidywany czas realizacji, zakres, wydatki całkowite, kwalifikowalne oraz wartość wsparcia. Minimum stanowi uzyskanie przez projekt komplementarny akceptacji EFS na etapie oceny formalnej</w:t>
      </w:r>
      <w:r w:rsidRPr="00D96699">
        <w:rPr>
          <w:sz w:val="24"/>
          <w:szCs w:val="24"/>
        </w:rPr>
        <w:t xml:space="preserve">, co w przypadku projektów przyszłych będzie weryfikowane najpóźniej przed </w:t>
      </w:r>
      <w:r w:rsidR="00557320" w:rsidRPr="00D96699">
        <w:rPr>
          <w:sz w:val="24"/>
          <w:szCs w:val="24"/>
        </w:rPr>
        <w:t>z</w:t>
      </w:r>
      <w:r w:rsidR="00D96699">
        <w:rPr>
          <w:sz w:val="24"/>
          <w:szCs w:val="24"/>
        </w:rPr>
        <w:t xml:space="preserve">akończeniem oceny. </w:t>
      </w:r>
    </w:p>
    <w:p w:rsidR="00D210FD" w:rsidRPr="00564A3F" w:rsidRDefault="00D210FD" w:rsidP="00D210FD">
      <w:pPr>
        <w:rPr>
          <w:b/>
          <w:sz w:val="24"/>
          <w:szCs w:val="24"/>
        </w:rPr>
      </w:pPr>
      <w:r w:rsidRPr="00564A3F">
        <w:rPr>
          <w:b/>
          <w:sz w:val="24"/>
          <w:szCs w:val="24"/>
        </w:rPr>
        <w:t>9.1.1.2 Projekt winien wynikać z tendencji demograficznych danego terytorium.</w:t>
      </w:r>
    </w:p>
    <w:p w:rsidR="00D210FD" w:rsidRPr="00564A3F" w:rsidRDefault="00D210FD" w:rsidP="00D210FD">
      <w:pPr>
        <w:spacing w:after="0"/>
        <w:jc w:val="both"/>
        <w:rPr>
          <w:sz w:val="24"/>
          <w:szCs w:val="24"/>
        </w:rPr>
      </w:pPr>
      <w:r w:rsidRPr="00564A3F">
        <w:rPr>
          <w:sz w:val="24"/>
          <w:szCs w:val="24"/>
        </w:rPr>
        <w:t xml:space="preserve">Podstawą oceny będą oparte na trendach demograficznych potrzeby zidentyfikowane w diagnozie specyfiki </w:t>
      </w:r>
      <w:r w:rsidRPr="00564A3F">
        <w:rPr>
          <w:rFonts w:eastAsia="Times New Roman" w:cs="Arial"/>
          <w:sz w:val="24"/>
          <w:szCs w:val="24"/>
        </w:rPr>
        <w:t>terytorialnej</w:t>
      </w:r>
      <w:r w:rsidRPr="00564A3F">
        <w:rPr>
          <w:sz w:val="24"/>
          <w:szCs w:val="24"/>
        </w:rPr>
        <w:t xml:space="preserve"> zawartej obligatoryjnie w dokumentacji aplikacyjnej (w postaci załącznika do SWI lub zintegrowanej z opracowaniem). Diagnoza taka winna obejmować co najmniej delimitację i opis wybranego obszaru wraz z uzasadnieniem wyboru oraz podstawowe dane demograficzne w odniesieniu do wybranego obszaru na tle regionu, w ujęciu historycznym oraz prognozę na okres minimum r</w:t>
      </w:r>
      <w:r w:rsidR="00B02CF4" w:rsidRPr="00564A3F">
        <w:rPr>
          <w:sz w:val="24"/>
          <w:szCs w:val="24"/>
        </w:rPr>
        <w:t xml:space="preserve">ealizacji </w:t>
      </w:r>
      <w:r w:rsidR="00B02CF4" w:rsidRPr="00564A3F">
        <w:rPr>
          <w:sz w:val="24"/>
          <w:szCs w:val="24"/>
        </w:rPr>
        <w:br/>
        <w:t>i trwałości projektu</w:t>
      </w:r>
      <w:r w:rsidRPr="00564A3F">
        <w:rPr>
          <w:sz w:val="24"/>
          <w:szCs w:val="24"/>
        </w:rPr>
        <w:t>.</w:t>
      </w:r>
    </w:p>
    <w:p w:rsidR="00D210FD" w:rsidRPr="00564A3F" w:rsidRDefault="00D210FD" w:rsidP="00D210FD">
      <w:pPr>
        <w:spacing w:after="0"/>
        <w:jc w:val="both"/>
        <w:rPr>
          <w:sz w:val="24"/>
          <w:szCs w:val="24"/>
        </w:rPr>
      </w:pPr>
    </w:p>
    <w:p w:rsidR="00D210FD" w:rsidRPr="00564A3F" w:rsidRDefault="00D210FD" w:rsidP="00D210FD">
      <w:pPr>
        <w:rPr>
          <w:b/>
          <w:sz w:val="24"/>
          <w:szCs w:val="24"/>
        </w:rPr>
      </w:pPr>
      <w:r w:rsidRPr="00564A3F">
        <w:rPr>
          <w:b/>
          <w:sz w:val="24"/>
          <w:szCs w:val="24"/>
        </w:rPr>
        <w:t>9.1.1.3 Projekt winien uwzględniać potrzeby osób z niepełnosprawnościami.</w:t>
      </w:r>
    </w:p>
    <w:p w:rsidR="00D210FD" w:rsidRPr="00564A3F" w:rsidRDefault="00D210FD" w:rsidP="00D210FD">
      <w:pPr>
        <w:jc w:val="both"/>
        <w:rPr>
          <w:sz w:val="24"/>
          <w:szCs w:val="24"/>
        </w:rPr>
      </w:pPr>
      <w:r w:rsidRPr="00564A3F">
        <w:rPr>
          <w:sz w:val="24"/>
          <w:szCs w:val="24"/>
        </w:rPr>
        <w:t>Należy wskazać, w jaki sposób uwzględniono w projekcie potrzeby osób z niepełnosprawnościami oraz odnieść się do adekwatności wykorzystania zasad projektowania uniwersalnego w odniesieniu do planowanego przedsięwzięcia.</w:t>
      </w:r>
    </w:p>
    <w:p w:rsidR="00D210FD" w:rsidRPr="00564A3F" w:rsidRDefault="00D210FD" w:rsidP="00D210FD">
      <w:pPr>
        <w:jc w:val="both"/>
        <w:rPr>
          <w:sz w:val="24"/>
          <w:szCs w:val="24"/>
        </w:rPr>
      </w:pPr>
      <w:r w:rsidRPr="00564A3F">
        <w:rPr>
          <w:sz w:val="24"/>
          <w:szCs w:val="24"/>
        </w:rPr>
        <w:t>Ocenie podlegać będzie, czy projekt przewiduje działania lub elementy przystosowujące infrastrukturę do potrzeb osób z niepełnosprawnościami (tj. inwestycje, które</w:t>
      </w:r>
      <w:r w:rsidRPr="00564A3F">
        <w:rPr>
          <w:b/>
          <w:sz w:val="24"/>
          <w:szCs w:val="24"/>
        </w:rPr>
        <w:t xml:space="preserve"> </w:t>
      </w:r>
      <w:r w:rsidRPr="00564A3F">
        <w:rPr>
          <w:sz w:val="24"/>
          <w:szCs w:val="24"/>
        </w:rPr>
        <w:t>likwidują fizyczne bariery utrudniające osobom z niepełnosprawnościami dostęp do edukacji). Należy wskazać, jakim wymogom podlega ubiegająca się o dofinansowanie infrastruktura (placówka), wyspecyfikować, które z nich (i czy wszystkie) były spełnione przed realizacją projektu oraz jakie ewentualnie bariery zostaną zlikwidowane w wyniku realizacji projektu, zwłaszcza ponad minimum zgodności z aktualnie obowiązującymi przepisami prawa.</w:t>
      </w:r>
    </w:p>
    <w:p w:rsidR="00B02CF4" w:rsidRPr="00AB0D69" w:rsidRDefault="00B02CF4" w:rsidP="00B02CF4">
      <w:pPr>
        <w:jc w:val="both"/>
        <w:rPr>
          <w:b/>
          <w:sz w:val="24"/>
          <w:szCs w:val="24"/>
        </w:rPr>
      </w:pPr>
      <w:r w:rsidRPr="00AB0D69">
        <w:rPr>
          <w:b/>
          <w:sz w:val="24"/>
          <w:szCs w:val="24"/>
        </w:rPr>
        <w:t>9</w:t>
      </w:r>
      <w:r w:rsidR="00AB0D69" w:rsidRPr="00AB0D69">
        <w:rPr>
          <w:b/>
          <w:sz w:val="24"/>
          <w:szCs w:val="24"/>
        </w:rPr>
        <w:t>.1.1.4</w:t>
      </w:r>
      <w:r w:rsidRPr="00AB0D69">
        <w:rPr>
          <w:b/>
          <w:sz w:val="24"/>
          <w:szCs w:val="24"/>
        </w:rPr>
        <w:t xml:space="preserve"> </w:t>
      </w:r>
      <w:r w:rsidR="00564A3F" w:rsidRPr="00AB0D69">
        <w:rPr>
          <w:b/>
          <w:sz w:val="24"/>
          <w:szCs w:val="24"/>
        </w:rPr>
        <w:t>Czy projekt wynika z kompleksowych planów rozwoju szkół?</w:t>
      </w:r>
    </w:p>
    <w:p w:rsidR="00D96699" w:rsidRPr="00FD1E58" w:rsidRDefault="00564A3F" w:rsidP="00FD1E58">
      <w:pPr>
        <w:jc w:val="both"/>
        <w:rPr>
          <w:sz w:val="24"/>
          <w:szCs w:val="24"/>
        </w:rPr>
      </w:pPr>
      <w:r w:rsidRPr="00FD1E58">
        <w:rPr>
          <w:sz w:val="24"/>
          <w:szCs w:val="24"/>
        </w:rPr>
        <w:t>Projekty związane z rozbudową, modernizacją i wyposażaniem jednos</w:t>
      </w:r>
      <w:r w:rsidR="00D96699" w:rsidRPr="00FD1E58">
        <w:rPr>
          <w:sz w:val="24"/>
          <w:szCs w:val="24"/>
        </w:rPr>
        <w:t xml:space="preserve">tek edukacyjnych winny wynikać </w:t>
      </w:r>
      <w:r w:rsidRPr="00FD1E58">
        <w:rPr>
          <w:sz w:val="24"/>
          <w:szCs w:val="24"/>
        </w:rPr>
        <w:t>z kompleksowych planów rozwoju szkół. Należy zatem przedstawić szczegółowe informacje w zakresie kompleksowych planów rozwoju szkół, tj. załączyć odnośne plany rozwoju szkół, wskazując, w jaki sposób przedsięwzięcie z nich wynika.</w:t>
      </w:r>
      <w:r w:rsidR="00D96699" w:rsidRPr="00FD1E58">
        <w:rPr>
          <w:sz w:val="24"/>
          <w:szCs w:val="24"/>
        </w:rPr>
        <w:t xml:space="preserve"> Kompleksowy plan rozwoju szkół W przypadku typu projektu dotyczącego infrastruktury dydaktycznej szkół należy wskazać link internetowy do „Kompleksowego planu rozwoju szkół” lub innego równoważnego dokumentu strategicznego danej JST. Beneficjent jest zobligowany do wskazania w Studium wykonalności linka do strony internetowej, na której umieszczony jest wyżej wskazany dokument. Dokument musi zawierać w szczególności diagnozę stanu istniejącego oraz definicje potrzeb w zakresie kierunków rozwoju sieci szkół na danym obszarze (m. in. wskazanie, które ze szkół przeznaczone są do likwidacji, a które będą się rozwijać i w jaki sposób). IZ dopuszcza, aby dokument strategiczny, o którym mowa powyżej zawierał rozdział dedykowany planom rozwoju szkół lub stanowił oddzielny załącznik do tego dokumentu. W każdym jednak przypadku konieczna jest szczegółowa diagnoza i uzasadnienie przyjętych kierunków rozwoju i planów inwestycyjnych.  </w:t>
      </w:r>
    </w:p>
    <w:p w:rsidR="00B02CF4" w:rsidRPr="00FD1E58" w:rsidRDefault="00B02CF4" w:rsidP="00D210FD">
      <w:pPr>
        <w:jc w:val="both"/>
        <w:rPr>
          <w:sz w:val="24"/>
          <w:szCs w:val="24"/>
        </w:rPr>
      </w:pPr>
    </w:p>
    <w:p w:rsidR="00D210FD" w:rsidRPr="00564A3F" w:rsidRDefault="00D210FD" w:rsidP="00D210FD">
      <w:pPr>
        <w:rPr>
          <w:b/>
          <w:sz w:val="24"/>
          <w:szCs w:val="24"/>
        </w:rPr>
      </w:pPr>
      <w:r w:rsidRPr="00564A3F">
        <w:rPr>
          <w:b/>
          <w:sz w:val="24"/>
          <w:szCs w:val="24"/>
        </w:rPr>
        <w:t>9.1.1.</w:t>
      </w:r>
      <w:r w:rsidR="00AB0D69">
        <w:rPr>
          <w:b/>
          <w:sz w:val="24"/>
          <w:szCs w:val="24"/>
        </w:rPr>
        <w:t>5</w:t>
      </w:r>
      <w:r w:rsidRPr="00564A3F">
        <w:rPr>
          <w:b/>
          <w:sz w:val="24"/>
          <w:szCs w:val="24"/>
        </w:rPr>
        <w:t xml:space="preserve"> Projekt winien wykazywać zdolność do adaptacji do zmian klimatu i reagowania na ryzyko powodziowe? (jeśli dotyczy)</w:t>
      </w:r>
    </w:p>
    <w:p w:rsidR="00D210FD" w:rsidRPr="00B538DA" w:rsidRDefault="00D210FD" w:rsidP="00D210FD">
      <w:pPr>
        <w:jc w:val="both"/>
        <w:rPr>
          <w:sz w:val="24"/>
          <w:szCs w:val="24"/>
        </w:rPr>
      </w:pPr>
      <w:r w:rsidRPr="00564A3F">
        <w:rPr>
          <w:sz w:val="24"/>
          <w:szCs w:val="24"/>
        </w:rPr>
        <w:t xml:space="preserve">Należy wykazać zdolność do reagowania i adaptacji przedmiotowej infrastruktury do zmian klimatu </w:t>
      </w:r>
      <w:r w:rsidRPr="00564A3F">
        <w:rPr>
          <w:sz w:val="24"/>
          <w:szCs w:val="24"/>
        </w:rPr>
        <w:br/>
        <w:t xml:space="preserve">(w szczególności na  obszarze zagrożenia powodziowego). Np. wszelkie elementy zlokalizowane na obszarach zagrożonych powodzią (zgodnie z dyrektywą 2007/60/WE), powinny być zaprojektowane </w:t>
      </w:r>
      <w:r w:rsidRPr="00564A3F">
        <w:rPr>
          <w:sz w:val="24"/>
          <w:szCs w:val="24"/>
        </w:rPr>
        <w:br/>
        <w:t xml:space="preserve">w sposób, który uwzględnia to ryzyko. Dokumentacja projektowa powinna wyraźnie wskazywać czy inwestycja ma wpływ na ryzyko powodziowe, a jeśli tak, to, w jaki sposób zarządza się tym ryzykiem. W przypadkach, gdzie uzasadniono że projekt nie dotyczy powyższych kwestii, uznaje się kryterium za </w:t>
      </w:r>
      <w:r w:rsidRPr="00B538DA">
        <w:rPr>
          <w:sz w:val="24"/>
          <w:szCs w:val="24"/>
        </w:rPr>
        <w:t>spełnione. Kryterium nie dotyczy projektu o charakterze nieinfrastrukturalnym</w:t>
      </w:r>
      <w:r w:rsidRPr="00B538DA">
        <w:rPr>
          <w:rStyle w:val="Odwoanieprzypisudolnego"/>
          <w:rFonts w:cs="Arial"/>
          <w:sz w:val="24"/>
          <w:szCs w:val="24"/>
        </w:rPr>
        <w:footnoteReference w:id="24"/>
      </w:r>
    </w:p>
    <w:p w:rsidR="00B76479" w:rsidRDefault="00B76479" w:rsidP="00D96699">
      <w:pPr>
        <w:pStyle w:val="podpunkt"/>
        <w:numPr>
          <w:ilvl w:val="0"/>
          <w:numId w:val="0"/>
        </w:numPr>
        <w:ind w:left="1080" w:hanging="720"/>
      </w:pPr>
    </w:p>
    <w:p w:rsidR="00D210FD" w:rsidRPr="00FD1E58" w:rsidRDefault="00D210FD" w:rsidP="00D210FD">
      <w:pPr>
        <w:pStyle w:val="podpunkt"/>
        <w:numPr>
          <w:ilvl w:val="2"/>
          <w:numId w:val="33"/>
        </w:numPr>
        <w:ind w:left="709" w:hanging="709"/>
        <w:rPr>
          <w:b/>
        </w:rPr>
      </w:pPr>
      <w:bookmarkStart w:id="39" w:name="_Toc522009760"/>
      <w:r w:rsidRPr="00FD1E58">
        <w:rPr>
          <w:b/>
        </w:rPr>
        <w:t>Kryteria punktowe</w:t>
      </w:r>
      <w:bookmarkEnd w:id="39"/>
    </w:p>
    <w:p w:rsidR="00496C95" w:rsidRPr="003C3411" w:rsidRDefault="00D210FD" w:rsidP="00496C95">
      <w:pPr>
        <w:jc w:val="both"/>
        <w:rPr>
          <w:sz w:val="24"/>
          <w:szCs w:val="24"/>
        </w:rPr>
      </w:pPr>
      <w:r w:rsidRPr="00B538DA">
        <w:rPr>
          <w:sz w:val="24"/>
          <w:szCs w:val="24"/>
        </w:rPr>
        <w:t>W przypadku kryteriów punktowych przyjętych obowiązującą uchwałą Komitetu Monitorującego RPOWŚ na lata 2014-2020 w sprawie rozpatrzenia i zatwierdzenia kryteriów wyboru projektów współfinansowanych z Europejskiego</w:t>
      </w:r>
      <w:r w:rsidR="001B1F1A" w:rsidRPr="00B538DA">
        <w:rPr>
          <w:sz w:val="24"/>
          <w:szCs w:val="24"/>
        </w:rPr>
        <w:t xml:space="preserve"> Funduszu Rozwoju Regionalnego </w:t>
      </w:r>
      <w:r w:rsidRPr="00B538DA">
        <w:rPr>
          <w:sz w:val="24"/>
          <w:szCs w:val="24"/>
        </w:rPr>
        <w:t>w ramach Regionalnego Programu Operacyjnego Województwa Świętokrzyskiego na lata 2014-2020, tj. kryteriów merytorycznych dla Działania 7.4 Roz</w:t>
      </w:r>
      <w:r w:rsidR="001B1F1A" w:rsidRPr="00B538DA">
        <w:rPr>
          <w:sz w:val="24"/>
          <w:szCs w:val="24"/>
        </w:rPr>
        <w:t xml:space="preserve">wój infrastruktury edukacyjnej </w:t>
      </w:r>
      <w:r w:rsidR="00B538DA">
        <w:rPr>
          <w:sz w:val="24"/>
          <w:szCs w:val="24"/>
        </w:rPr>
        <w:t xml:space="preserve">i szkoleniowej </w:t>
      </w:r>
      <w:r w:rsidR="00B538DA" w:rsidRPr="00D96699">
        <w:rPr>
          <w:sz w:val="24"/>
          <w:szCs w:val="24"/>
        </w:rPr>
        <w:t xml:space="preserve">(typ projektu: </w:t>
      </w:r>
      <w:r w:rsidRPr="00D96699">
        <w:rPr>
          <w:sz w:val="24"/>
          <w:szCs w:val="24"/>
        </w:rPr>
        <w:t>Infrastruktura edukacyjna na potrzeby edukacji sz</w:t>
      </w:r>
      <w:r w:rsidR="00B538DA" w:rsidRPr="00D96699">
        <w:rPr>
          <w:sz w:val="24"/>
          <w:szCs w:val="24"/>
        </w:rPr>
        <w:t xml:space="preserve">kolnej na poziomie podstawowym i średnim ogólnokształcącym  - </w:t>
      </w:r>
      <w:r w:rsidRPr="00D96699">
        <w:rPr>
          <w:sz w:val="24"/>
          <w:szCs w:val="24"/>
        </w:rPr>
        <w:t>kod kategorii interwencji 051)</w:t>
      </w:r>
      <w:r w:rsidR="00D96699" w:rsidRPr="00D96699">
        <w:rPr>
          <w:sz w:val="24"/>
          <w:szCs w:val="24"/>
        </w:rPr>
        <w:t xml:space="preserve">, </w:t>
      </w:r>
      <w:r w:rsidR="00B538DA" w:rsidRPr="00D96699">
        <w:rPr>
          <w:sz w:val="24"/>
          <w:szCs w:val="24"/>
        </w:rPr>
        <w:t>w</w:t>
      </w:r>
      <w:r w:rsidRPr="00D96699">
        <w:rPr>
          <w:sz w:val="24"/>
          <w:szCs w:val="24"/>
        </w:rPr>
        <w:t xml:space="preserve"> interesie Wnioskodawcy leży przywołanie w dokumentacji aplikacyjnej wszelkich</w:t>
      </w:r>
      <w:r w:rsidRPr="00B538DA">
        <w:rPr>
          <w:sz w:val="24"/>
          <w:szCs w:val="24"/>
        </w:rPr>
        <w:t xml:space="preserve"> danych, zwłaszcza liczbowych, które mogłyby wpłynąć na liczbę przyznanych punktów (informacje będą podlegać weryfikacji przez oceniających).</w:t>
      </w:r>
      <w:r w:rsidRPr="00D210FD">
        <w:rPr>
          <w:sz w:val="24"/>
          <w:szCs w:val="24"/>
        </w:rPr>
        <w:t xml:space="preserve"> </w:t>
      </w:r>
    </w:p>
    <w:p w:rsidR="00D210FD" w:rsidRPr="003C3411" w:rsidRDefault="00D210FD" w:rsidP="003C3411">
      <w:pPr>
        <w:pStyle w:val="Bezodstpw"/>
        <w:spacing w:before="100" w:beforeAutospacing="1" w:after="100" w:afterAutospacing="1" w:line="276" w:lineRule="auto"/>
        <w:jc w:val="both"/>
        <w:rPr>
          <w:sz w:val="24"/>
          <w:szCs w:val="24"/>
        </w:rPr>
      </w:pPr>
    </w:p>
    <w:p w:rsidR="003B3E82" w:rsidRPr="00FD1E58" w:rsidRDefault="0096366D" w:rsidP="00206135">
      <w:pPr>
        <w:pStyle w:val="Nagwek2"/>
        <w:numPr>
          <w:ilvl w:val="1"/>
          <w:numId w:val="4"/>
        </w:numPr>
        <w:rPr>
          <w:i w:val="0"/>
        </w:rPr>
      </w:pPr>
      <w:bookmarkStart w:id="40" w:name="_Toc522009761"/>
      <w:r w:rsidRPr="006335E2">
        <w:rPr>
          <w:i w:val="0"/>
        </w:rPr>
        <w:t>Projekty hybrydowe</w:t>
      </w:r>
      <w:bookmarkEnd w:id="40"/>
    </w:p>
    <w:p w:rsidR="00C53CDA" w:rsidRPr="00C53CDA" w:rsidRDefault="003B3E82" w:rsidP="00387B8B">
      <w:pPr>
        <w:pStyle w:val="Default"/>
        <w:spacing w:after="142" w:line="276" w:lineRule="auto"/>
        <w:jc w:val="both"/>
        <w:rPr>
          <w:rFonts w:ascii="Calibri" w:hAnsi="Calibri"/>
        </w:rPr>
      </w:pPr>
      <w:r w:rsidRPr="00C53CDA">
        <w:rPr>
          <w:rFonts w:ascii="Calibri" w:hAnsi="Calibri"/>
        </w:rPr>
        <w:t>W celu uwzględnienia specyfiki projektów hybrydowych, czyli łączących dofinansowanie UE z formułą partnerstwa publiczno-prywatnego (ppp), w rozporządzeniu nr 1303/2013 zawarto odrębny rozdział poświęcony tej tematy</w:t>
      </w:r>
      <w:r w:rsidR="00C53CDA" w:rsidRPr="00C53CDA">
        <w:rPr>
          <w:rFonts w:ascii="Calibri" w:hAnsi="Calibri"/>
        </w:rPr>
        <w:t>ce</w:t>
      </w:r>
      <w:r w:rsidR="00C53CDA" w:rsidRPr="00C53CDA">
        <w:rPr>
          <w:rStyle w:val="Odwoanieprzypisudolnego"/>
          <w:rFonts w:ascii="Calibri" w:hAnsi="Calibri"/>
        </w:rPr>
        <w:footnoteReference w:id="25"/>
      </w:r>
      <w:r w:rsidR="00E75D0D">
        <w:rPr>
          <w:rFonts w:ascii="Calibri" w:hAnsi="Calibri"/>
        </w:rPr>
        <w:t>.</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(Dz. U. z 2009 r. nr 19, poz. 100, z późn. zm.), ale również projekty, w których podstawą realizacji są inne akty prawne, m.in. </w:t>
      </w:r>
      <w:r w:rsidRPr="00C53CDA">
        <w:rPr>
          <w:rFonts w:ascii="Calibri" w:hAnsi="Calibri"/>
          <w:i/>
        </w:rPr>
        <w:t>ustawa z dnia 9 stycznia 2009 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Szczególny charakter projektów hybrydowych został także wzięty pod uwagę w rozporządzeniu </w:t>
      </w:r>
      <w:r w:rsidR="003E4B13">
        <w:rPr>
          <w:rFonts w:ascii="Calibri" w:hAnsi="Calibri"/>
        </w:rPr>
        <w:br/>
      </w:r>
      <w:r w:rsidRPr="00C53CDA">
        <w:rPr>
          <w:rFonts w:ascii="Calibri" w:hAnsi="Calibri"/>
        </w:rPr>
        <w:t>nr 2015/207, jak również w rozporządzeniu nr 480/2014 dotyczącym m.in. kalkulacji dochodu w projektach generujących d</w:t>
      </w:r>
      <w:r w:rsidR="00E75D0D">
        <w:rPr>
          <w:rFonts w:ascii="Calibri" w:hAnsi="Calibri"/>
        </w:rPr>
        <w:t>ochód</w:t>
      </w:r>
      <w:r w:rsidRPr="00C53CDA">
        <w:rPr>
          <w:rFonts w:ascii="Calibri" w:hAnsi="Calibri"/>
        </w:rPr>
        <w:t xml:space="preserve">. </w:t>
      </w:r>
    </w:p>
    <w:p w:rsidR="002050AE" w:rsidRPr="006143F5" w:rsidRDefault="00E75D0D" w:rsidP="006143F5">
      <w:pPr>
        <w:pStyle w:val="Default"/>
        <w:spacing w:line="276" w:lineRule="auto"/>
        <w:jc w:val="both"/>
        <w:rPr>
          <w:rFonts w:ascii="Calibri" w:hAnsi="Calibri"/>
        </w:rPr>
      </w:pPr>
      <w:r>
        <w:rPr>
          <w:rFonts w:ascii="Calibri" w:hAnsi="Calibri"/>
        </w:rPr>
        <w:t xml:space="preserve">Szczegółowe informacje dotyczące przygotowania i realizacji projektów hybrydowych </w:t>
      </w:r>
      <w:r w:rsidR="00387B8B">
        <w:rPr>
          <w:rFonts w:ascii="Calibri" w:hAnsi="Calibri"/>
        </w:rPr>
        <w:t>(dot. m.in. różnych form/modeli łąc</w:t>
      </w:r>
      <w:r w:rsidR="00BB2120">
        <w:rPr>
          <w:rFonts w:ascii="Calibri" w:hAnsi="Calibri"/>
        </w:rPr>
        <w:t xml:space="preserve">zenia dotacji UE z formułą ppp, </w:t>
      </w:r>
      <w:r w:rsidR="00387B8B">
        <w:rPr>
          <w:rFonts w:ascii="Calibri" w:hAnsi="Calibri"/>
        </w:rPr>
        <w:t xml:space="preserve">analizy finansowej, wejścia partnera prywatnego w prawa </w:t>
      </w:r>
      <w:r w:rsidR="00387B8B">
        <w:rPr>
          <w:rFonts w:ascii="Calibri" w:hAnsi="Calibri"/>
        </w:rPr>
        <w:br/>
        <w:t>i obowiązki beneficjenta, itd.) zostały zawarte w rozdziale 12</w:t>
      </w:r>
      <w:r w:rsidR="00387B8B" w:rsidRPr="00387B8B">
        <w:rPr>
          <w:rFonts w:ascii="Calibri" w:hAnsi="Calibri"/>
        </w:rPr>
        <w:t xml:space="preserve"> </w:t>
      </w:r>
      <w:r w:rsidR="00387B8B" w:rsidRPr="00387B8B">
        <w:rPr>
          <w:rFonts w:ascii="Calibri" w:hAnsi="Calibri"/>
          <w:i/>
        </w:rPr>
        <w:t>Wytycznych w zakresie zagadnień związanych z przygotowaniem projektów inwestycyjnych, w tym projektów generujących dochód i projektów hybrydowych na lata 2014-2020</w:t>
      </w:r>
      <w:r w:rsidR="00387B8B">
        <w:rPr>
          <w:rFonts w:ascii="Calibri" w:hAnsi="Calibri"/>
        </w:rPr>
        <w:t>.</w:t>
      </w:r>
    </w:p>
    <w:p w:rsidR="005F12CF" w:rsidRDefault="005F12CF" w:rsidP="005F12CF">
      <w:pPr>
        <w:pStyle w:val="Nagwek1"/>
        <w:numPr>
          <w:ilvl w:val="0"/>
          <w:numId w:val="4"/>
        </w:numPr>
      </w:pPr>
      <w:bookmarkStart w:id="41" w:name="_Toc522009762"/>
      <w:r>
        <w:t>Analiza oddziaływania na środowisko</w:t>
      </w:r>
      <w:bookmarkEnd w:id="41"/>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42" w:name="_Toc522009763"/>
      <w:r w:rsidRPr="00A2015A">
        <w:rPr>
          <w:i w:val="0"/>
        </w:rPr>
        <w:t>Ocena oddziaływania na środowisko</w:t>
      </w:r>
      <w:bookmarkEnd w:id="42"/>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3C3411" w:rsidRDefault="003C3411" w:rsidP="00A14BBB">
      <w:pPr>
        <w:pStyle w:val="Akapitzlist"/>
        <w:ind w:left="0"/>
        <w:jc w:val="both"/>
        <w:rPr>
          <w:sz w:val="24"/>
          <w:szCs w:val="24"/>
        </w:rPr>
      </w:pPr>
    </w:p>
    <w:p w:rsidR="003C3411" w:rsidRPr="00A14BBB" w:rsidRDefault="003C3411" w:rsidP="00A14BBB">
      <w:pPr>
        <w:pStyle w:val="Akapitzlist"/>
        <w:ind w:left="0"/>
        <w:jc w:val="both"/>
        <w:rPr>
          <w:sz w:val="24"/>
          <w:szCs w:val="24"/>
        </w:rPr>
      </w:pPr>
    </w:p>
    <w:p w:rsidR="000F6A3D" w:rsidRPr="005520AB" w:rsidRDefault="000F6A3D" w:rsidP="000F6A3D">
      <w:pPr>
        <w:pStyle w:val="Nagwek2"/>
        <w:numPr>
          <w:ilvl w:val="1"/>
          <w:numId w:val="4"/>
        </w:numPr>
        <w:rPr>
          <w:i w:val="0"/>
        </w:rPr>
      </w:pPr>
      <w:bookmarkStart w:id="43" w:name="_Toc175029710"/>
      <w:bookmarkStart w:id="44" w:name="_Toc183823837"/>
      <w:bookmarkStart w:id="45" w:name="_Toc193878576"/>
      <w:bookmarkStart w:id="46" w:name="_Toc522009764"/>
      <w:r w:rsidRPr="005520AB">
        <w:rPr>
          <w:i w:val="0"/>
        </w:rPr>
        <w:t xml:space="preserve">Wpływ na </w:t>
      </w:r>
      <w:r w:rsidR="00554A9B">
        <w:rPr>
          <w:i w:val="0"/>
        </w:rPr>
        <w:t>obszary</w:t>
      </w:r>
      <w:r w:rsidRPr="005520AB">
        <w:rPr>
          <w:i w:val="0"/>
        </w:rPr>
        <w:t xml:space="preserve"> Natura 2000</w:t>
      </w:r>
      <w:bookmarkEnd w:id="46"/>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47" w:name="_Toc522009765"/>
      <w:r w:rsidR="00AB2127" w:rsidRPr="00AB2127">
        <w:rPr>
          <w:i w:val="0"/>
        </w:rPr>
        <w:t xml:space="preserve">Przystosowanie do zmiany klimatu, łagodzenie zmiany klimatu oraz </w:t>
      </w:r>
      <w:r w:rsidR="00554A9B">
        <w:rPr>
          <w:i w:val="0"/>
        </w:rPr>
        <w:t>odporność na klęski żywiołowe</w:t>
      </w:r>
      <w:bookmarkEnd w:id="47"/>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6"/>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a Hydroportalu (</w:t>
      </w:r>
      <w:hyperlink r:id="rId17"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3"/>
      <w:bookmarkEnd w:id="44"/>
      <w:bookmarkEnd w:id="45"/>
    </w:p>
    <w:p w:rsidR="0096366D" w:rsidRPr="00A2015A" w:rsidRDefault="000F6A3D" w:rsidP="006E4C4C">
      <w:pPr>
        <w:pStyle w:val="Nagwek2"/>
        <w:numPr>
          <w:ilvl w:val="1"/>
          <w:numId w:val="4"/>
        </w:numPr>
        <w:rPr>
          <w:i w:val="0"/>
        </w:rPr>
      </w:pPr>
      <w:bookmarkStart w:id="48" w:name="_Toc522009766"/>
      <w:r>
        <w:rPr>
          <w:i w:val="0"/>
        </w:rPr>
        <w:t>Wpływ</w:t>
      </w:r>
      <w:r w:rsidR="0096366D" w:rsidRPr="00A2015A">
        <w:rPr>
          <w:i w:val="0"/>
        </w:rPr>
        <w:t xml:space="preserve"> na efektywne i racjonalne wykorzystywanie zasobów naturalnych oraz stosowanie rozwiązań przyjaznych środowisku</w:t>
      </w:r>
      <w:bookmarkEnd w:id="48"/>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49" w:name="_Toc522009767"/>
      <w:r>
        <w:t>Promocja projektu</w:t>
      </w:r>
      <w:bookmarkEnd w:id="49"/>
    </w:p>
    <w:p w:rsidR="000B1483" w:rsidRDefault="000B1483" w:rsidP="000B1483">
      <w:pPr>
        <w:pStyle w:val="Bezodstpw"/>
      </w:pPr>
    </w:p>
    <w:p w:rsidR="005B2F0A" w:rsidRPr="00EB705B" w:rsidRDefault="00F35422" w:rsidP="008C5498">
      <w:pPr>
        <w:jc w:val="both"/>
        <w:rPr>
          <w:rFonts w:cs="Arial"/>
          <w:b/>
          <w:bCs/>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8" w:history="1">
        <w:r w:rsidR="0035042A" w:rsidRPr="008C5498">
          <w:rPr>
            <w:rStyle w:val="Hipercze"/>
            <w:rFonts w:eastAsia="Times New Roman" w:cs="Arial"/>
            <w:sz w:val="24"/>
            <w:szCs w:val="24"/>
            <w:lang w:eastAsia="pl-PL"/>
          </w:rPr>
          <w:t>http://www.mir.gov.pl/strony/zadania/fundusze-europejskie/wytyczne/wytyczne-na-lata-2014-2020/#</w:t>
        </w:r>
      </w:hyperlink>
      <w:r w:rsidR="0035042A" w:rsidRPr="008C5498">
        <w:rPr>
          <w:rFonts w:eastAsia="Times New Roman" w:cs="Arial"/>
          <w:i/>
          <w:sz w:val="24"/>
          <w:szCs w:val="24"/>
          <w:lang w:eastAsia="pl-PL"/>
        </w:rPr>
        <w:t xml:space="preserve"> </w:t>
      </w:r>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 xml:space="preserve">Podręcznikiem wnioskodawcy i beneficjenta programów polityki spójności 2014-2020 </w:t>
      </w:r>
      <w:r w:rsidR="006202C2">
        <w:rPr>
          <w:rFonts w:cs="Arial"/>
          <w:bCs/>
          <w:i/>
          <w:sz w:val="24"/>
          <w:szCs w:val="24"/>
          <w:lang w:eastAsia="pl-PL"/>
        </w:rPr>
        <w:br/>
      </w:r>
      <w:r w:rsidR="000B1483" w:rsidRPr="008C5498">
        <w:rPr>
          <w:rFonts w:cs="Arial"/>
          <w:bCs/>
          <w:i/>
          <w:sz w:val="24"/>
          <w:szCs w:val="24"/>
          <w:lang w:eastAsia="pl-PL"/>
        </w:rPr>
        <w:t>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19"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 </w:t>
      </w:r>
      <w:hyperlink r:id="rId20" w:history="1">
        <w:r w:rsidR="006202C2" w:rsidRPr="00DA28F0">
          <w:rPr>
            <w:rStyle w:val="Hipercze"/>
            <w:rFonts w:cs="Arial"/>
            <w:bCs/>
            <w:sz w:val="24"/>
            <w:szCs w:val="24"/>
            <w:lang w:eastAsia="pl-PL"/>
          </w:rPr>
          <w:t>https://www.funduszeeuropejskie.gov.pl/strony/ofunduszach/dokumenty/</w:t>
        </w:r>
        <w:r w:rsidR="006202C2" w:rsidRPr="00DA28F0">
          <w:rPr>
            <w:rStyle w:val="Hipercze"/>
            <w:rFonts w:cs="Arial"/>
            <w:bCs/>
            <w:sz w:val="24"/>
            <w:szCs w:val="24"/>
            <w:lang w:eastAsia="pl-PL"/>
          </w:rPr>
          <w:br/>
          <w:t>podrecznik-wnioskodawcy-i-beneficjenta-programow-polityki-spojnosci-2014-2020-w-zakresie-informacji-i-promocji/</w:t>
        </w:r>
      </w:hyperlink>
      <w:r w:rsidR="003E4B13">
        <w:rPr>
          <w:rFonts w:cs="Arial"/>
          <w:bCs/>
          <w:sz w:val="24"/>
          <w:szCs w:val="24"/>
          <w:lang w:eastAsia="pl-PL"/>
        </w:rPr>
        <w:t>.</w:t>
      </w:r>
      <w:r w:rsidR="00EB705B">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50" w:name="_Toc522009768"/>
      <w:r>
        <w:t>Wnioski i podsumowanie</w:t>
      </w:r>
      <w:bookmarkEnd w:id="50"/>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6143F5"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rsidR="00147C54" w:rsidRDefault="00147C54" w:rsidP="00147C54">
      <w:pPr>
        <w:pStyle w:val="Nagwek1"/>
        <w:numPr>
          <w:ilvl w:val="0"/>
          <w:numId w:val="4"/>
        </w:numPr>
      </w:pPr>
      <w:bookmarkStart w:id="51" w:name="_Toc433636337"/>
      <w:bookmarkStart w:id="52" w:name="_Toc522009769"/>
      <w:r>
        <w:t>Oświadczenie</w:t>
      </w:r>
      <w:bookmarkEnd w:id="51"/>
      <w:bookmarkEnd w:id="52"/>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B6" w:rsidRDefault="00BE4BB6" w:rsidP="00701918">
      <w:pPr>
        <w:spacing w:after="0" w:line="240" w:lineRule="auto"/>
      </w:pPr>
      <w:r>
        <w:separator/>
      </w:r>
    </w:p>
  </w:endnote>
  <w:endnote w:type="continuationSeparator" w:id="0">
    <w:p w:rsidR="00BE4BB6" w:rsidRDefault="00BE4BB6"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0AB" w:rsidRDefault="004000AB">
    <w:pPr>
      <w:pStyle w:val="Stopka"/>
      <w:jc w:val="right"/>
    </w:pPr>
    <w:r>
      <w:fldChar w:fldCharType="begin"/>
    </w:r>
    <w:r>
      <w:instrText xml:space="preserve"> PAGE   \* MERGEFORMAT </w:instrText>
    </w:r>
    <w:r>
      <w:fldChar w:fldCharType="separate"/>
    </w:r>
    <w:r w:rsidR="00D05FCA">
      <w:rPr>
        <w:noProof/>
      </w:rPr>
      <w:t>2</w:t>
    </w:r>
    <w:r>
      <w:rPr>
        <w:noProof/>
      </w:rPr>
      <w:fldChar w:fldCharType="end"/>
    </w:r>
  </w:p>
  <w:p w:rsidR="004000AB" w:rsidRDefault="004000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B6" w:rsidRDefault="00BE4BB6" w:rsidP="00701918">
      <w:pPr>
        <w:spacing w:after="0" w:line="240" w:lineRule="auto"/>
      </w:pPr>
      <w:r>
        <w:separator/>
      </w:r>
    </w:p>
  </w:footnote>
  <w:footnote w:type="continuationSeparator" w:id="0">
    <w:p w:rsidR="00BE4BB6" w:rsidRDefault="00BE4BB6" w:rsidP="00701918">
      <w:pPr>
        <w:spacing w:after="0" w:line="240" w:lineRule="auto"/>
      </w:pPr>
      <w:r>
        <w:continuationSeparator/>
      </w:r>
    </w:p>
  </w:footnote>
  <w:footnote w:id="1">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4000AB" w:rsidRDefault="004000AB">
      <w:pPr>
        <w:pStyle w:val="Tekstprzypisudolnego"/>
      </w:pPr>
      <w:r>
        <w:rPr>
          <w:rStyle w:val="Odwoanieprzypisudolnego"/>
        </w:rPr>
        <w:footnoteRef/>
      </w:r>
      <w:r>
        <w:t xml:space="preserve"> Patrz przypis 2</w:t>
      </w:r>
    </w:p>
  </w:footnote>
  <w:footnote w:id="8">
    <w:p w:rsidR="004000AB" w:rsidRDefault="004000AB">
      <w:pPr>
        <w:pStyle w:val="Tekstprzypisudolnego"/>
      </w:pPr>
      <w:r>
        <w:rPr>
          <w:rStyle w:val="Odwoanieprzypisudolnego"/>
        </w:rPr>
        <w:footnoteRef/>
      </w:r>
      <w:r>
        <w:t xml:space="preserve"> Patrz przypis 1</w:t>
      </w:r>
    </w:p>
  </w:footnote>
  <w:footnote w:id="9">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4000AB" w:rsidRPr="0077546F" w:rsidRDefault="004000AB"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r w:rsidRPr="0077546F">
        <w:rPr>
          <w:rFonts w:cs="Calibri,Italic"/>
          <w:i/>
          <w:iCs/>
          <w:sz w:val="20"/>
          <w:szCs w:val="20"/>
        </w:rPr>
        <w:t>Pavlov and Others</w:t>
      </w:r>
      <w:r w:rsidRPr="0077546F">
        <w:rPr>
          <w:rFonts w:cs="Calibri,Italic"/>
          <w:iCs/>
          <w:sz w:val="20"/>
          <w:szCs w:val="20"/>
        </w:rPr>
        <w:t>, [2000] ECR I-6451.</w:t>
      </w:r>
    </w:p>
    <w:p w:rsidR="004000AB" w:rsidRDefault="004000AB">
      <w:pPr>
        <w:pStyle w:val="Tekstprzypisudolnego"/>
      </w:pPr>
    </w:p>
  </w:footnote>
  <w:footnote w:id="11">
    <w:p w:rsidR="004000AB" w:rsidRPr="007234E0" w:rsidRDefault="004000AB"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4000AB" w:rsidRDefault="004000AB"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3">
    <w:p w:rsidR="004000AB" w:rsidRPr="00E755BA" w:rsidRDefault="004000AB"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4">
    <w:p w:rsidR="004000AB" w:rsidRPr="00E755BA" w:rsidRDefault="004000AB"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4000AB" w:rsidRPr="000802E2" w:rsidRDefault="004000AB"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6">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7">
    <w:p w:rsidR="004000AB" w:rsidRPr="0077546F" w:rsidRDefault="004000AB"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8">
    <w:p w:rsidR="004000AB" w:rsidRDefault="004000AB"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4000AB" w:rsidRPr="00D523F8" w:rsidRDefault="004000AB"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0">
    <w:p w:rsidR="004000AB" w:rsidRDefault="004000AB"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4000AB" w:rsidRDefault="004000AB">
      <w:pPr>
        <w:pStyle w:val="Tekstprzypisudolnego"/>
      </w:pPr>
      <w:r>
        <w:rPr>
          <w:rStyle w:val="Odwoanieprzypisudolnego"/>
        </w:rPr>
        <w:footnoteRef/>
      </w:r>
      <w:r>
        <w:t xml:space="preserve"> Patrz przypis 1</w:t>
      </w:r>
    </w:p>
  </w:footnote>
  <w:footnote w:id="22">
    <w:p w:rsidR="004000AB" w:rsidRDefault="004000AB">
      <w:pPr>
        <w:pStyle w:val="Tekstprzypisudolnego"/>
      </w:pPr>
      <w:r>
        <w:rPr>
          <w:rStyle w:val="Odwoanieprzypisudolnego"/>
        </w:rPr>
        <w:footnoteRef/>
      </w:r>
      <w:r>
        <w:t xml:space="preserve"> Patrz przypis 13</w:t>
      </w:r>
    </w:p>
  </w:footnote>
  <w:footnote w:id="23">
    <w:p w:rsidR="004000AB" w:rsidRDefault="004000AB"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4">
    <w:p w:rsidR="004000AB" w:rsidRPr="00562C75" w:rsidRDefault="004000AB" w:rsidP="00D210FD">
      <w:pPr>
        <w:pStyle w:val="Tekstprzypisudolnego"/>
        <w:jc w:val="both"/>
      </w:pPr>
      <w:r w:rsidRPr="00562C75">
        <w:rPr>
          <w:rStyle w:val="Odwoanieprzypisudolnego"/>
        </w:rPr>
        <w:footnoteRef/>
      </w:r>
      <w:r w:rsidRPr="00562C75">
        <w:t xml:space="preserve"> Projekt o charakterze nieinfrastrukturalnym to projekt zakupowy, szkoleniowy, edukacyjny, reklamowy, badawczy, który nie powoduje ingerencji w środowisku lub nie polega na przekształceniu terenu lub zmianie jego wykorzystywania. </w:t>
      </w:r>
    </w:p>
  </w:footnote>
  <w:footnote w:id="25">
    <w:p w:rsidR="004000AB" w:rsidRPr="00C53CDA" w:rsidRDefault="004000AB" w:rsidP="00C53CD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MIiR, grudzień 2013, dostępny na stronie www.ppp.gov.pl.  </w:t>
      </w:r>
    </w:p>
  </w:footnote>
  <w:footnote w:id="26">
    <w:p w:rsidR="004000AB" w:rsidRDefault="004000AB"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24943"/>
    <w:multiLevelType w:val="hybridMultilevel"/>
    <w:tmpl w:val="B950A2FA"/>
    <w:lvl w:ilvl="0" w:tplc="04150017">
      <w:start w:val="1"/>
      <w:numFmt w:val="lowerLetter"/>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8"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4443B"/>
    <w:multiLevelType w:val="hybridMultilevel"/>
    <w:tmpl w:val="D66A5F7A"/>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2D5476"/>
    <w:multiLevelType w:val="hybridMultilevel"/>
    <w:tmpl w:val="BF189352"/>
    <w:lvl w:ilvl="0" w:tplc="A682736E">
      <w:start w:val="1"/>
      <w:numFmt w:val="lowerLetter"/>
      <w:lvlText w:val="%1)"/>
      <w:lvlJc w:val="right"/>
      <w:pPr>
        <w:ind w:left="1428" w:hanging="360"/>
      </w:pPr>
      <w:rPr>
        <w:b w:val="0"/>
        <w:i w:val="0"/>
        <w:caps w:val="0"/>
        <w:strike w:val="0"/>
        <w:dstrike w:val="0"/>
        <w:vanish w:val="0"/>
        <w:webHidden w:val="0"/>
        <w:color w:val="auto"/>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A89216F"/>
    <w:multiLevelType w:val="multilevel"/>
    <w:tmpl w:val="D77EA76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podpunkt"/>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4"/>
  </w:num>
  <w:num w:numId="3">
    <w:abstractNumId w:val="3"/>
  </w:num>
  <w:num w:numId="4">
    <w:abstractNumId w:val="30"/>
  </w:num>
  <w:num w:numId="5">
    <w:abstractNumId w:val="33"/>
  </w:num>
  <w:num w:numId="6">
    <w:abstractNumId w:val="1"/>
  </w:num>
  <w:num w:numId="7">
    <w:abstractNumId w:val="28"/>
  </w:num>
  <w:num w:numId="8">
    <w:abstractNumId w:val="13"/>
  </w:num>
  <w:num w:numId="9">
    <w:abstractNumId w:val="4"/>
  </w:num>
  <w:num w:numId="10">
    <w:abstractNumId w:val="6"/>
  </w:num>
  <w:num w:numId="11">
    <w:abstractNumId w:val="22"/>
  </w:num>
  <w:num w:numId="12">
    <w:abstractNumId w:val="23"/>
  </w:num>
  <w:num w:numId="13">
    <w:abstractNumId w:val="27"/>
  </w:num>
  <w:num w:numId="14">
    <w:abstractNumId w:val="18"/>
  </w:num>
  <w:num w:numId="15">
    <w:abstractNumId w:val="16"/>
  </w:num>
  <w:num w:numId="16">
    <w:abstractNumId w:val="26"/>
  </w:num>
  <w:num w:numId="17">
    <w:abstractNumId w:val="9"/>
  </w:num>
  <w:num w:numId="18">
    <w:abstractNumId w:val="10"/>
  </w:num>
  <w:num w:numId="19">
    <w:abstractNumId w:val="11"/>
  </w:num>
  <w:num w:numId="20">
    <w:abstractNumId w:val="17"/>
  </w:num>
  <w:num w:numId="21">
    <w:abstractNumId w:val="31"/>
  </w:num>
  <w:num w:numId="22">
    <w:abstractNumId w:val="20"/>
  </w:num>
  <w:num w:numId="23">
    <w:abstractNumId w:val="21"/>
  </w:num>
  <w:num w:numId="24">
    <w:abstractNumId w:val="29"/>
  </w:num>
  <w:num w:numId="25">
    <w:abstractNumId w:val="14"/>
  </w:num>
  <w:num w:numId="26">
    <w:abstractNumId w:val="0"/>
  </w:num>
  <w:num w:numId="27">
    <w:abstractNumId w:val="19"/>
  </w:num>
  <w:num w:numId="28">
    <w:abstractNumId w:val="15"/>
  </w:num>
  <w:num w:numId="29">
    <w:abstractNumId w:val="5"/>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4234"/>
    <w:rsid w:val="000072A9"/>
    <w:rsid w:val="000168EE"/>
    <w:rsid w:val="0002044C"/>
    <w:rsid w:val="000251C6"/>
    <w:rsid w:val="0002522E"/>
    <w:rsid w:val="00030291"/>
    <w:rsid w:val="00040F69"/>
    <w:rsid w:val="00041F80"/>
    <w:rsid w:val="00043312"/>
    <w:rsid w:val="00043BBC"/>
    <w:rsid w:val="00045DB7"/>
    <w:rsid w:val="00050FF2"/>
    <w:rsid w:val="00052A1E"/>
    <w:rsid w:val="0005321B"/>
    <w:rsid w:val="00055119"/>
    <w:rsid w:val="000567D1"/>
    <w:rsid w:val="00061612"/>
    <w:rsid w:val="0006218A"/>
    <w:rsid w:val="0007481C"/>
    <w:rsid w:val="000802E2"/>
    <w:rsid w:val="0008254A"/>
    <w:rsid w:val="00084053"/>
    <w:rsid w:val="00084475"/>
    <w:rsid w:val="000855C6"/>
    <w:rsid w:val="00086A4C"/>
    <w:rsid w:val="00096BE1"/>
    <w:rsid w:val="000971C6"/>
    <w:rsid w:val="000A19CD"/>
    <w:rsid w:val="000A1CF7"/>
    <w:rsid w:val="000B1483"/>
    <w:rsid w:val="000B7359"/>
    <w:rsid w:val="000C105F"/>
    <w:rsid w:val="000C2B2F"/>
    <w:rsid w:val="000C47D4"/>
    <w:rsid w:val="000C63E9"/>
    <w:rsid w:val="000D1E18"/>
    <w:rsid w:val="000D221D"/>
    <w:rsid w:val="000D333A"/>
    <w:rsid w:val="000D5F65"/>
    <w:rsid w:val="000E0BAD"/>
    <w:rsid w:val="000E303D"/>
    <w:rsid w:val="000E7549"/>
    <w:rsid w:val="000F2089"/>
    <w:rsid w:val="000F2341"/>
    <w:rsid w:val="000F6A3D"/>
    <w:rsid w:val="00100A23"/>
    <w:rsid w:val="00101445"/>
    <w:rsid w:val="0011345D"/>
    <w:rsid w:val="0011368F"/>
    <w:rsid w:val="001136CB"/>
    <w:rsid w:val="0011370D"/>
    <w:rsid w:val="00113E17"/>
    <w:rsid w:val="00121267"/>
    <w:rsid w:val="00126A33"/>
    <w:rsid w:val="00141E31"/>
    <w:rsid w:val="001434BE"/>
    <w:rsid w:val="0014521B"/>
    <w:rsid w:val="00147BB0"/>
    <w:rsid w:val="00147C54"/>
    <w:rsid w:val="001530B7"/>
    <w:rsid w:val="00157A2A"/>
    <w:rsid w:val="00161F89"/>
    <w:rsid w:val="00164610"/>
    <w:rsid w:val="00167613"/>
    <w:rsid w:val="001717CD"/>
    <w:rsid w:val="00174786"/>
    <w:rsid w:val="001769C3"/>
    <w:rsid w:val="0019223A"/>
    <w:rsid w:val="001959DC"/>
    <w:rsid w:val="001A3535"/>
    <w:rsid w:val="001A40FC"/>
    <w:rsid w:val="001A653F"/>
    <w:rsid w:val="001A6862"/>
    <w:rsid w:val="001B05B4"/>
    <w:rsid w:val="001B1F1A"/>
    <w:rsid w:val="001B6127"/>
    <w:rsid w:val="001B7FBC"/>
    <w:rsid w:val="001C09AE"/>
    <w:rsid w:val="001D087B"/>
    <w:rsid w:val="001D15C4"/>
    <w:rsid w:val="001D3A72"/>
    <w:rsid w:val="001F69F1"/>
    <w:rsid w:val="001F78CF"/>
    <w:rsid w:val="001F7EE5"/>
    <w:rsid w:val="002050AE"/>
    <w:rsid w:val="00206135"/>
    <w:rsid w:val="00211BFC"/>
    <w:rsid w:val="00224B0F"/>
    <w:rsid w:val="00225387"/>
    <w:rsid w:val="00226957"/>
    <w:rsid w:val="00232DCB"/>
    <w:rsid w:val="00234A67"/>
    <w:rsid w:val="0024270F"/>
    <w:rsid w:val="002469D6"/>
    <w:rsid w:val="00246C10"/>
    <w:rsid w:val="00246F1C"/>
    <w:rsid w:val="002503DC"/>
    <w:rsid w:val="002517D7"/>
    <w:rsid w:val="00252A66"/>
    <w:rsid w:val="00253611"/>
    <w:rsid w:val="00254217"/>
    <w:rsid w:val="00263168"/>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E1051"/>
    <w:rsid w:val="002F36EB"/>
    <w:rsid w:val="002F6BF2"/>
    <w:rsid w:val="00301FE9"/>
    <w:rsid w:val="00302A87"/>
    <w:rsid w:val="00303639"/>
    <w:rsid w:val="00303CD4"/>
    <w:rsid w:val="00307089"/>
    <w:rsid w:val="003072DD"/>
    <w:rsid w:val="00307B38"/>
    <w:rsid w:val="003146D8"/>
    <w:rsid w:val="0031757F"/>
    <w:rsid w:val="00317DA4"/>
    <w:rsid w:val="003251C7"/>
    <w:rsid w:val="00325711"/>
    <w:rsid w:val="003321E1"/>
    <w:rsid w:val="00332AB1"/>
    <w:rsid w:val="00333700"/>
    <w:rsid w:val="0033476B"/>
    <w:rsid w:val="00335AD4"/>
    <w:rsid w:val="0035042A"/>
    <w:rsid w:val="00361643"/>
    <w:rsid w:val="0036193A"/>
    <w:rsid w:val="0036554E"/>
    <w:rsid w:val="00376A79"/>
    <w:rsid w:val="00376E85"/>
    <w:rsid w:val="003820AC"/>
    <w:rsid w:val="0038225A"/>
    <w:rsid w:val="00387B8B"/>
    <w:rsid w:val="00395C2D"/>
    <w:rsid w:val="00397E62"/>
    <w:rsid w:val="003A3935"/>
    <w:rsid w:val="003A4AC8"/>
    <w:rsid w:val="003A68DF"/>
    <w:rsid w:val="003B0E8A"/>
    <w:rsid w:val="003B3E82"/>
    <w:rsid w:val="003B45C5"/>
    <w:rsid w:val="003B5B22"/>
    <w:rsid w:val="003B73D8"/>
    <w:rsid w:val="003C2A99"/>
    <w:rsid w:val="003C3411"/>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00AB"/>
    <w:rsid w:val="00404786"/>
    <w:rsid w:val="00410675"/>
    <w:rsid w:val="004149BB"/>
    <w:rsid w:val="004255BD"/>
    <w:rsid w:val="00426A5B"/>
    <w:rsid w:val="00427CEE"/>
    <w:rsid w:val="00430277"/>
    <w:rsid w:val="004325D2"/>
    <w:rsid w:val="004334A8"/>
    <w:rsid w:val="00435F43"/>
    <w:rsid w:val="004435D2"/>
    <w:rsid w:val="00452354"/>
    <w:rsid w:val="00453BD3"/>
    <w:rsid w:val="004620AF"/>
    <w:rsid w:val="00466AD9"/>
    <w:rsid w:val="00466B1D"/>
    <w:rsid w:val="00466F9F"/>
    <w:rsid w:val="004672CC"/>
    <w:rsid w:val="00473240"/>
    <w:rsid w:val="00473F9E"/>
    <w:rsid w:val="00474BAC"/>
    <w:rsid w:val="00477A36"/>
    <w:rsid w:val="004870D5"/>
    <w:rsid w:val="0049175E"/>
    <w:rsid w:val="00496C95"/>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5E37"/>
    <w:rsid w:val="005166BE"/>
    <w:rsid w:val="00516AF8"/>
    <w:rsid w:val="00521CB2"/>
    <w:rsid w:val="005334D4"/>
    <w:rsid w:val="00534ECF"/>
    <w:rsid w:val="005421A5"/>
    <w:rsid w:val="00542C16"/>
    <w:rsid w:val="00543693"/>
    <w:rsid w:val="00550D78"/>
    <w:rsid w:val="005520AB"/>
    <w:rsid w:val="00554A9B"/>
    <w:rsid w:val="00554EF1"/>
    <w:rsid w:val="00557320"/>
    <w:rsid w:val="0056093D"/>
    <w:rsid w:val="00560B60"/>
    <w:rsid w:val="00564A3F"/>
    <w:rsid w:val="00566A32"/>
    <w:rsid w:val="00572CF5"/>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63666"/>
    <w:rsid w:val="00665A82"/>
    <w:rsid w:val="006747E7"/>
    <w:rsid w:val="00676B45"/>
    <w:rsid w:val="0067722A"/>
    <w:rsid w:val="006804C0"/>
    <w:rsid w:val="00680FA3"/>
    <w:rsid w:val="0068290E"/>
    <w:rsid w:val="00685B9C"/>
    <w:rsid w:val="00691021"/>
    <w:rsid w:val="00692AAF"/>
    <w:rsid w:val="00695072"/>
    <w:rsid w:val="006A2C79"/>
    <w:rsid w:val="006A340F"/>
    <w:rsid w:val="006A3667"/>
    <w:rsid w:val="006A6990"/>
    <w:rsid w:val="006B09ED"/>
    <w:rsid w:val="006B1620"/>
    <w:rsid w:val="006C46B9"/>
    <w:rsid w:val="006C76DD"/>
    <w:rsid w:val="006D31AF"/>
    <w:rsid w:val="006D62C4"/>
    <w:rsid w:val="006E4C4C"/>
    <w:rsid w:val="006E4DE7"/>
    <w:rsid w:val="006E7510"/>
    <w:rsid w:val="006F1D0F"/>
    <w:rsid w:val="007016DF"/>
    <w:rsid w:val="0070183D"/>
    <w:rsid w:val="00701918"/>
    <w:rsid w:val="007127E2"/>
    <w:rsid w:val="0071557C"/>
    <w:rsid w:val="007234E0"/>
    <w:rsid w:val="007268FA"/>
    <w:rsid w:val="00727B4F"/>
    <w:rsid w:val="00733BC1"/>
    <w:rsid w:val="0073642F"/>
    <w:rsid w:val="00754EDE"/>
    <w:rsid w:val="007635BE"/>
    <w:rsid w:val="00767543"/>
    <w:rsid w:val="007678D4"/>
    <w:rsid w:val="0077546F"/>
    <w:rsid w:val="007754E4"/>
    <w:rsid w:val="00777D2E"/>
    <w:rsid w:val="00791C20"/>
    <w:rsid w:val="007A528A"/>
    <w:rsid w:val="007B1169"/>
    <w:rsid w:val="007B21DD"/>
    <w:rsid w:val="007B66CC"/>
    <w:rsid w:val="007B6F99"/>
    <w:rsid w:val="007C4A0E"/>
    <w:rsid w:val="007C5D58"/>
    <w:rsid w:val="007C7432"/>
    <w:rsid w:val="007D43E8"/>
    <w:rsid w:val="007D50AA"/>
    <w:rsid w:val="007E72A6"/>
    <w:rsid w:val="007F0D67"/>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0EA6"/>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8E1"/>
    <w:rsid w:val="008D1748"/>
    <w:rsid w:val="008E5EA2"/>
    <w:rsid w:val="008E69B2"/>
    <w:rsid w:val="008F10CC"/>
    <w:rsid w:val="008F4418"/>
    <w:rsid w:val="008F4C11"/>
    <w:rsid w:val="008F740D"/>
    <w:rsid w:val="009015F0"/>
    <w:rsid w:val="00903BB6"/>
    <w:rsid w:val="00905F67"/>
    <w:rsid w:val="00910F09"/>
    <w:rsid w:val="00911E45"/>
    <w:rsid w:val="009125F9"/>
    <w:rsid w:val="00917451"/>
    <w:rsid w:val="0092569D"/>
    <w:rsid w:val="00926142"/>
    <w:rsid w:val="00926ED6"/>
    <w:rsid w:val="00927C90"/>
    <w:rsid w:val="00930BEC"/>
    <w:rsid w:val="00933D17"/>
    <w:rsid w:val="009356A8"/>
    <w:rsid w:val="00936812"/>
    <w:rsid w:val="0093792E"/>
    <w:rsid w:val="00941BE7"/>
    <w:rsid w:val="009421A9"/>
    <w:rsid w:val="0094244F"/>
    <w:rsid w:val="0096366D"/>
    <w:rsid w:val="00966398"/>
    <w:rsid w:val="0096695A"/>
    <w:rsid w:val="0096756C"/>
    <w:rsid w:val="00967798"/>
    <w:rsid w:val="00970B03"/>
    <w:rsid w:val="0097460E"/>
    <w:rsid w:val="00983053"/>
    <w:rsid w:val="0098341B"/>
    <w:rsid w:val="00993140"/>
    <w:rsid w:val="00997DAC"/>
    <w:rsid w:val="009B3F56"/>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81C"/>
    <w:rsid w:val="00A26561"/>
    <w:rsid w:val="00A27F12"/>
    <w:rsid w:val="00A302D2"/>
    <w:rsid w:val="00A3420C"/>
    <w:rsid w:val="00A36582"/>
    <w:rsid w:val="00A43CA2"/>
    <w:rsid w:val="00A627F8"/>
    <w:rsid w:val="00A655D6"/>
    <w:rsid w:val="00A7162A"/>
    <w:rsid w:val="00A71D18"/>
    <w:rsid w:val="00A75E47"/>
    <w:rsid w:val="00A775EB"/>
    <w:rsid w:val="00A7789E"/>
    <w:rsid w:val="00A80450"/>
    <w:rsid w:val="00A82500"/>
    <w:rsid w:val="00A85294"/>
    <w:rsid w:val="00AB0D69"/>
    <w:rsid w:val="00AB2127"/>
    <w:rsid w:val="00AD113F"/>
    <w:rsid w:val="00AE0B87"/>
    <w:rsid w:val="00AE4135"/>
    <w:rsid w:val="00AE5A0F"/>
    <w:rsid w:val="00AF1009"/>
    <w:rsid w:val="00AF1079"/>
    <w:rsid w:val="00AF58B9"/>
    <w:rsid w:val="00AF790E"/>
    <w:rsid w:val="00B01886"/>
    <w:rsid w:val="00B02CF4"/>
    <w:rsid w:val="00B06379"/>
    <w:rsid w:val="00B06A4B"/>
    <w:rsid w:val="00B10E31"/>
    <w:rsid w:val="00B11B07"/>
    <w:rsid w:val="00B154AF"/>
    <w:rsid w:val="00B15D24"/>
    <w:rsid w:val="00B164C4"/>
    <w:rsid w:val="00B2260A"/>
    <w:rsid w:val="00B23530"/>
    <w:rsid w:val="00B23E7E"/>
    <w:rsid w:val="00B24B32"/>
    <w:rsid w:val="00B3301F"/>
    <w:rsid w:val="00B4104E"/>
    <w:rsid w:val="00B41FBA"/>
    <w:rsid w:val="00B430DC"/>
    <w:rsid w:val="00B43CB2"/>
    <w:rsid w:val="00B520ED"/>
    <w:rsid w:val="00B538DA"/>
    <w:rsid w:val="00B54E3C"/>
    <w:rsid w:val="00B63439"/>
    <w:rsid w:val="00B63580"/>
    <w:rsid w:val="00B65756"/>
    <w:rsid w:val="00B66EF8"/>
    <w:rsid w:val="00B75526"/>
    <w:rsid w:val="00B75C32"/>
    <w:rsid w:val="00B76479"/>
    <w:rsid w:val="00B87900"/>
    <w:rsid w:val="00B90374"/>
    <w:rsid w:val="00B94195"/>
    <w:rsid w:val="00B941EF"/>
    <w:rsid w:val="00B94F29"/>
    <w:rsid w:val="00B97187"/>
    <w:rsid w:val="00BA1725"/>
    <w:rsid w:val="00BB2120"/>
    <w:rsid w:val="00BB542B"/>
    <w:rsid w:val="00BB5E04"/>
    <w:rsid w:val="00BB5FE0"/>
    <w:rsid w:val="00BC30B5"/>
    <w:rsid w:val="00BD505D"/>
    <w:rsid w:val="00BE4BB6"/>
    <w:rsid w:val="00BE57B0"/>
    <w:rsid w:val="00BE5B41"/>
    <w:rsid w:val="00BF7D81"/>
    <w:rsid w:val="00C07010"/>
    <w:rsid w:val="00C11BA3"/>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B6104"/>
    <w:rsid w:val="00CD0B49"/>
    <w:rsid w:val="00CE4254"/>
    <w:rsid w:val="00CE685B"/>
    <w:rsid w:val="00CF45C2"/>
    <w:rsid w:val="00D05FCA"/>
    <w:rsid w:val="00D210FD"/>
    <w:rsid w:val="00D21C28"/>
    <w:rsid w:val="00D222FF"/>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7680B"/>
    <w:rsid w:val="00D81DC1"/>
    <w:rsid w:val="00D82561"/>
    <w:rsid w:val="00D948EF"/>
    <w:rsid w:val="00D96699"/>
    <w:rsid w:val="00DA072D"/>
    <w:rsid w:val="00DB06E8"/>
    <w:rsid w:val="00DB1ABB"/>
    <w:rsid w:val="00DB675B"/>
    <w:rsid w:val="00DC031B"/>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5F3D"/>
    <w:rsid w:val="00E27781"/>
    <w:rsid w:val="00E337C5"/>
    <w:rsid w:val="00E36268"/>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6165"/>
    <w:rsid w:val="00EA6B9C"/>
    <w:rsid w:val="00EB4D7A"/>
    <w:rsid w:val="00EB705B"/>
    <w:rsid w:val="00EC27C6"/>
    <w:rsid w:val="00EC40DC"/>
    <w:rsid w:val="00ED048A"/>
    <w:rsid w:val="00ED487E"/>
    <w:rsid w:val="00ED6572"/>
    <w:rsid w:val="00ED7579"/>
    <w:rsid w:val="00EF330A"/>
    <w:rsid w:val="00EF3342"/>
    <w:rsid w:val="00EF56F4"/>
    <w:rsid w:val="00EF69AC"/>
    <w:rsid w:val="00F003FE"/>
    <w:rsid w:val="00F0777D"/>
    <w:rsid w:val="00F1707A"/>
    <w:rsid w:val="00F170D9"/>
    <w:rsid w:val="00F21C69"/>
    <w:rsid w:val="00F2727E"/>
    <w:rsid w:val="00F2795C"/>
    <w:rsid w:val="00F35422"/>
    <w:rsid w:val="00F4209C"/>
    <w:rsid w:val="00F44897"/>
    <w:rsid w:val="00F448EC"/>
    <w:rsid w:val="00F62937"/>
    <w:rsid w:val="00F6508B"/>
    <w:rsid w:val="00F65122"/>
    <w:rsid w:val="00F74437"/>
    <w:rsid w:val="00F8319D"/>
    <w:rsid w:val="00F86F3B"/>
    <w:rsid w:val="00F94757"/>
    <w:rsid w:val="00F96231"/>
    <w:rsid w:val="00F9645B"/>
    <w:rsid w:val="00F96C73"/>
    <w:rsid w:val="00F97C95"/>
    <w:rsid w:val="00FA01D2"/>
    <w:rsid w:val="00FA2BD2"/>
    <w:rsid w:val="00FB20AD"/>
    <w:rsid w:val="00FB2F99"/>
    <w:rsid w:val="00FB5796"/>
    <w:rsid w:val="00FB6532"/>
    <w:rsid w:val="00FC5E33"/>
    <w:rsid w:val="00FC6618"/>
    <w:rsid w:val="00FD1E58"/>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E0278-C5B3-41DE-A83B-0E2F3C37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podpunktZnak">
    <w:name w:val="podpunkt Znak"/>
    <w:basedOn w:val="AkapitzlistZnak"/>
    <w:link w:val="podpunkt"/>
    <w:locked/>
    <w:rsid w:val="00D210FD"/>
    <w:rPr>
      <w:sz w:val="28"/>
      <w:szCs w:val="28"/>
      <w:lang w:eastAsia="en-US"/>
    </w:rPr>
  </w:style>
  <w:style w:type="paragraph" w:customStyle="1" w:styleId="podpunkt">
    <w:name w:val="podpunkt"/>
    <w:basedOn w:val="Akapitzlist"/>
    <w:link w:val="podpunktZnak"/>
    <w:qFormat/>
    <w:rsid w:val="00D210FD"/>
    <w:pPr>
      <w:keepNext/>
      <w:numPr>
        <w:ilvl w:val="2"/>
        <w:numId w:val="1"/>
      </w:numPr>
      <w:spacing w:before="120" w:after="120"/>
      <w:contextualSpacing w:val="0"/>
      <w:outlineLvl w:val="1"/>
    </w:pPr>
    <w:rPr>
      <w:sz w:val="28"/>
      <w:szCs w:val="28"/>
      <w:lang w:eastAsia="pl-PL"/>
    </w:rPr>
  </w:style>
  <w:style w:type="paragraph" w:styleId="Mapadokumentu">
    <w:name w:val="Document Map"/>
    <w:basedOn w:val="Normalny"/>
    <w:link w:val="MapadokumentuZnak"/>
    <w:uiPriority w:val="99"/>
    <w:semiHidden/>
    <w:unhideWhenUsed/>
    <w:rsid w:val="001D087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D087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mir.gov.pl/strony/zadania/fundusze-europejskie/wytyczne/wytyczne-na-lata-2014-2020/%23%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apy.isok.gov.pl/imap/" TargetMode="External"/><Relationship Id="rId17" Type="http://schemas.openxmlformats.org/officeDocument/2006/relationships/hyperlink" Target="http://mapy.isok.gov.pl/ima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funduszeeuropejskie.gov.pl/strony/ofunduszach/dokumenty/podrecznik-wnioskodawcy-i-beneficjenta-programow-polityki-spojnosci-2014-2020-w-zakresie-informacji-i-promocj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2014-2020.rpo-swietokrzyski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35C7C-7CC3-4369-86F1-4378B8DC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20731</Words>
  <Characters>124391</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144833</CharactersWithSpaces>
  <SharedDoc>false</SharedDoc>
  <HLinks>
    <vt:vector size="324" baseType="variant">
      <vt:variant>
        <vt:i4>917605</vt:i4>
      </vt:variant>
      <vt:variant>
        <vt:i4>306</vt:i4>
      </vt:variant>
      <vt:variant>
        <vt:i4>0</vt:i4>
      </vt:variant>
      <vt:variant>
        <vt:i4>5</vt:i4>
      </vt:variant>
      <vt:variant>
        <vt:lpwstr>https://www.funduszeeuropejskie.gov.pl/strony/ofunduszach/dokumenty/_x000b_podrecznik-wnioskodawcy-i-beneficjenta-programow-polityki-spojnosci-2014-2020-w-zakresie-informacji-i-promocji/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1900596</vt:i4>
      </vt:variant>
      <vt:variant>
        <vt:i4>287</vt:i4>
      </vt:variant>
      <vt:variant>
        <vt:i4>0</vt:i4>
      </vt:variant>
      <vt:variant>
        <vt:i4>5</vt:i4>
      </vt:variant>
      <vt:variant>
        <vt:lpwstr/>
      </vt:variant>
      <vt:variant>
        <vt:lpwstr>_Toc459885123</vt:lpwstr>
      </vt:variant>
      <vt:variant>
        <vt:i4>1900596</vt:i4>
      </vt:variant>
      <vt:variant>
        <vt:i4>281</vt:i4>
      </vt:variant>
      <vt:variant>
        <vt:i4>0</vt:i4>
      </vt:variant>
      <vt:variant>
        <vt:i4>5</vt:i4>
      </vt:variant>
      <vt:variant>
        <vt:lpwstr/>
      </vt:variant>
      <vt:variant>
        <vt:lpwstr>_Toc459885122</vt:lpwstr>
      </vt:variant>
      <vt:variant>
        <vt:i4>1900596</vt:i4>
      </vt:variant>
      <vt:variant>
        <vt:i4>275</vt:i4>
      </vt:variant>
      <vt:variant>
        <vt:i4>0</vt:i4>
      </vt:variant>
      <vt:variant>
        <vt:i4>5</vt:i4>
      </vt:variant>
      <vt:variant>
        <vt:lpwstr/>
      </vt:variant>
      <vt:variant>
        <vt:lpwstr>_Toc459885121</vt:lpwstr>
      </vt:variant>
      <vt:variant>
        <vt:i4>1900596</vt:i4>
      </vt:variant>
      <vt:variant>
        <vt:i4>269</vt:i4>
      </vt:variant>
      <vt:variant>
        <vt:i4>0</vt:i4>
      </vt:variant>
      <vt:variant>
        <vt:i4>5</vt:i4>
      </vt:variant>
      <vt:variant>
        <vt:lpwstr/>
      </vt:variant>
      <vt:variant>
        <vt:lpwstr>_Toc459885120</vt:lpwstr>
      </vt:variant>
      <vt:variant>
        <vt:i4>1966132</vt:i4>
      </vt:variant>
      <vt:variant>
        <vt:i4>263</vt:i4>
      </vt:variant>
      <vt:variant>
        <vt:i4>0</vt:i4>
      </vt:variant>
      <vt:variant>
        <vt:i4>5</vt:i4>
      </vt:variant>
      <vt:variant>
        <vt:lpwstr/>
      </vt:variant>
      <vt:variant>
        <vt:lpwstr>_Toc459885119</vt:lpwstr>
      </vt:variant>
      <vt:variant>
        <vt:i4>1966132</vt:i4>
      </vt:variant>
      <vt:variant>
        <vt:i4>257</vt:i4>
      </vt:variant>
      <vt:variant>
        <vt:i4>0</vt:i4>
      </vt:variant>
      <vt:variant>
        <vt:i4>5</vt:i4>
      </vt:variant>
      <vt:variant>
        <vt:lpwstr/>
      </vt:variant>
      <vt:variant>
        <vt:lpwstr>_Toc459885118</vt:lpwstr>
      </vt:variant>
      <vt:variant>
        <vt:i4>1966132</vt:i4>
      </vt:variant>
      <vt:variant>
        <vt:i4>251</vt:i4>
      </vt:variant>
      <vt:variant>
        <vt:i4>0</vt:i4>
      </vt:variant>
      <vt:variant>
        <vt:i4>5</vt:i4>
      </vt:variant>
      <vt:variant>
        <vt:lpwstr/>
      </vt:variant>
      <vt:variant>
        <vt:lpwstr>_Toc459885117</vt:lpwstr>
      </vt:variant>
      <vt:variant>
        <vt:i4>1966132</vt:i4>
      </vt:variant>
      <vt:variant>
        <vt:i4>245</vt:i4>
      </vt:variant>
      <vt:variant>
        <vt:i4>0</vt:i4>
      </vt:variant>
      <vt:variant>
        <vt:i4>5</vt:i4>
      </vt:variant>
      <vt:variant>
        <vt:lpwstr/>
      </vt:variant>
      <vt:variant>
        <vt:lpwstr>_Toc459885116</vt:lpwstr>
      </vt:variant>
      <vt:variant>
        <vt:i4>1966132</vt:i4>
      </vt:variant>
      <vt:variant>
        <vt:i4>239</vt:i4>
      </vt:variant>
      <vt:variant>
        <vt:i4>0</vt:i4>
      </vt:variant>
      <vt:variant>
        <vt:i4>5</vt:i4>
      </vt:variant>
      <vt:variant>
        <vt:lpwstr/>
      </vt:variant>
      <vt:variant>
        <vt:lpwstr>_Toc459885115</vt:lpwstr>
      </vt:variant>
      <vt:variant>
        <vt:i4>1966132</vt:i4>
      </vt:variant>
      <vt:variant>
        <vt:i4>233</vt:i4>
      </vt:variant>
      <vt:variant>
        <vt:i4>0</vt:i4>
      </vt:variant>
      <vt:variant>
        <vt:i4>5</vt:i4>
      </vt:variant>
      <vt:variant>
        <vt:lpwstr/>
      </vt:variant>
      <vt:variant>
        <vt:lpwstr>_Toc459885114</vt:lpwstr>
      </vt:variant>
      <vt:variant>
        <vt:i4>1966132</vt:i4>
      </vt:variant>
      <vt:variant>
        <vt:i4>227</vt:i4>
      </vt:variant>
      <vt:variant>
        <vt:i4>0</vt:i4>
      </vt:variant>
      <vt:variant>
        <vt:i4>5</vt:i4>
      </vt:variant>
      <vt:variant>
        <vt:lpwstr/>
      </vt:variant>
      <vt:variant>
        <vt:lpwstr>_Toc459885113</vt:lpwstr>
      </vt:variant>
      <vt:variant>
        <vt:i4>1966132</vt:i4>
      </vt:variant>
      <vt:variant>
        <vt:i4>221</vt:i4>
      </vt:variant>
      <vt:variant>
        <vt:i4>0</vt:i4>
      </vt:variant>
      <vt:variant>
        <vt:i4>5</vt:i4>
      </vt:variant>
      <vt:variant>
        <vt:lpwstr/>
      </vt:variant>
      <vt:variant>
        <vt:lpwstr>_Toc459885112</vt:lpwstr>
      </vt:variant>
      <vt:variant>
        <vt:i4>1966132</vt:i4>
      </vt:variant>
      <vt:variant>
        <vt:i4>215</vt:i4>
      </vt:variant>
      <vt:variant>
        <vt:i4>0</vt:i4>
      </vt:variant>
      <vt:variant>
        <vt:i4>5</vt:i4>
      </vt:variant>
      <vt:variant>
        <vt:lpwstr/>
      </vt:variant>
      <vt:variant>
        <vt:lpwstr>_Toc459885111</vt:lpwstr>
      </vt:variant>
      <vt:variant>
        <vt:i4>1966132</vt:i4>
      </vt:variant>
      <vt:variant>
        <vt:i4>209</vt:i4>
      </vt:variant>
      <vt:variant>
        <vt:i4>0</vt:i4>
      </vt:variant>
      <vt:variant>
        <vt:i4>5</vt:i4>
      </vt:variant>
      <vt:variant>
        <vt:lpwstr/>
      </vt:variant>
      <vt:variant>
        <vt:lpwstr>_Toc459885110</vt:lpwstr>
      </vt:variant>
      <vt:variant>
        <vt:i4>2031668</vt:i4>
      </vt:variant>
      <vt:variant>
        <vt:i4>203</vt:i4>
      </vt:variant>
      <vt:variant>
        <vt:i4>0</vt:i4>
      </vt:variant>
      <vt:variant>
        <vt:i4>5</vt:i4>
      </vt:variant>
      <vt:variant>
        <vt:lpwstr/>
      </vt:variant>
      <vt:variant>
        <vt:lpwstr>_Toc459885109</vt:lpwstr>
      </vt:variant>
      <vt:variant>
        <vt:i4>2031668</vt:i4>
      </vt:variant>
      <vt:variant>
        <vt:i4>197</vt:i4>
      </vt:variant>
      <vt:variant>
        <vt:i4>0</vt:i4>
      </vt:variant>
      <vt:variant>
        <vt:i4>5</vt:i4>
      </vt:variant>
      <vt:variant>
        <vt:lpwstr/>
      </vt:variant>
      <vt:variant>
        <vt:lpwstr>_Toc459885108</vt:lpwstr>
      </vt:variant>
      <vt:variant>
        <vt:i4>2031668</vt:i4>
      </vt:variant>
      <vt:variant>
        <vt:i4>191</vt:i4>
      </vt:variant>
      <vt:variant>
        <vt:i4>0</vt:i4>
      </vt:variant>
      <vt:variant>
        <vt:i4>5</vt:i4>
      </vt:variant>
      <vt:variant>
        <vt:lpwstr/>
      </vt:variant>
      <vt:variant>
        <vt:lpwstr>_Toc459885107</vt:lpwstr>
      </vt:variant>
      <vt:variant>
        <vt:i4>2031668</vt:i4>
      </vt:variant>
      <vt:variant>
        <vt:i4>185</vt:i4>
      </vt:variant>
      <vt:variant>
        <vt:i4>0</vt:i4>
      </vt:variant>
      <vt:variant>
        <vt:i4>5</vt:i4>
      </vt:variant>
      <vt:variant>
        <vt:lpwstr/>
      </vt:variant>
      <vt:variant>
        <vt:lpwstr>_Toc459885106</vt:lpwstr>
      </vt:variant>
      <vt:variant>
        <vt:i4>2031668</vt:i4>
      </vt:variant>
      <vt:variant>
        <vt:i4>179</vt:i4>
      </vt:variant>
      <vt:variant>
        <vt:i4>0</vt:i4>
      </vt:variant>
      <vt:variant>
        <vt:i4>5</vt:i4>
      </vt:variant>
      <vt:variant>
        <vt:lpwstr/>
      </vt:variant>
      <vt:variant>
        <vt:lpwstr>_Toc459885105</vt:lpwstr>
      </vt:variant>
      <vt:variant>
        <vt:i4>2031668</vt:i4>
      </vt:variant>
      <vt:variant>
        <vt:i4>173</vt:i4>
      </vt:variant>
      <vt:variant>
        <vt:i4>0</vt:i4>
      </vt:variant>
      <vt:variant>
        <vt:i4>5</vt:i4>
      </vt:variant>
      <vt:variant>
        <vt:lpwstr/>
      </vt:variant>
      <vt:variant>
        <vt:lpwstr>_Toc459885104</vt:lpwstr>
      </vt:variant>
      <vt:variant>
        <vt:i4>2031668</vt:i4>
      </vt:variant>
      <vt:variant>
        <vt:i4>167</vt:i4>
      </vt:variant>
      <vt:variant>
        <vt:i4>0</vt:i4>
      </vt:variant>
      <vt:variant>
        <vt:i4>5</vt:i4>
      </vt:variant>
      <vt:variant>
        <vt:lpwstr/>
      </vt:variant>
      <vt:variant>
        <vt:lpwstr>_Toc459885103</vt:lpwstr>
      </vt:variant>
      <vt:variant>
        <vt:i4>2031668</vt:i4>
      </vt:variant>
      <vt:variant>
        <vt:i4>161</vt:i4>
      </vt:variant>
      <vt:variant>
        <vt:i4>0</vt:i4>
      </vt:variant>
      <vt:variant>
        <vt:i4>5</vt:i4>
      </vt:variant>
      <vt:variant>
        <vt:lpwstr/>
      </vt:variant>
      <vt:variant>
        <vt:lpwstr>_Toc459885102</vt:lpwstr>
      </vt:variant>
      <vt:variant>
        <vt:i4>2031668</vt:i4>
      </vt:variant>
      <vt:variant>
        <vt:i4>155</vt:i4>
      </vt:variant>
      <vt:variant>
        <vt:i4>0</vt:i4>
      </vt:variant>
      <vt:variant>
        <vt:i4>5</vt:i4>
      </vt:variant>
      <vt:variant>
        <vt:lpwstr/>
      </vt:variant>
      <vt:variant>
        <vt:lpwstr>_Toc459885101</vt:lpwstr>
      </vt:variant>
      <vt:variant>
        <vt:i4>2031668</vt:i4>
      </vt:variant>
      <vt:variant>
        <vt:i4>149</vt:i4>
      </vt:variant>
      <vt:variant>
        <vt:i4>0</vt:i4>
      </vt:variant>
      <vt:variant>
        <vt:i4>5</vt:i4>
      </vt:variant>
      <vt:variant>
        <vt:lpwstr/>
      </vt:variant>
      <vt:variant>
        <vt:lpwstr>_Toc459885100</vt:lpwstr>
      </vt:variant>
      <vt:variant>
        <vt:i4>1441845</vt:i4>
      </vt:variant>
      <vt:variant>
        <vt:i4>143</vt:i4>
      </vt:variant>
      <vt:variant>
        <vt:i4>0</vt:i4>
      </vt:variant>
      <vt:variant>
        <vt:i4>5</vt:i4>
      </vt:variant>
      <vt:variant>
        <vt:lpwstr/>
      </vt:variant>
      <vt:variant>
        <vt:lpwstr>_Toc459885099</vt:lpwstr>
      </vt:variant>
      <vt:variant>
        <vt:i4>1441845</vt:i4>
      </vt:variant>
      <vt:variant>
        <vt:i4>137</vt:i4>
      </vt:variant>
      <vt:variant>
        <vt:i4>0</vt:i4>
      </vt:variant>
      <vt:variant>
        <vt:i4>5</vt:i4>
      </vt:variant>
      <vt:variant>
        <vt:lpwstr/>
      </vt:variant>
      <vt:variant>
        <vt:lpwstr>_Toc459885098</vt:lpwstr>
      </vt:variant>
      <vt:variant>
        <vt:i4>1441845</vt:i4>
      </vt:variant>
      <vt:variant>
        <vt:i4>131</vt:i4>
      </vt:variant>
      <vt:variant>
        <vt:i4>0</vt:i4>
      </vt:variant>
      <vt:variant>
        <vt:i4>5</vt:i4>
      </vt:variant>
      <vt:variant>
        <vt:lpwstr/>
      </vt:variant>
      <vt:variant>
        <vt:lpwstr>_Toc459885097</vt:lpwstr>
      </vt:variant>
      <vt:variant>
        <vt:i4>1441845</vt:i4>
      </vt:variant>
      <vt:variant>
        <vt:i4>125</vt:i4>
      </vt:variant>
      <vt:variant>
        <vt:i4>0</vt:i4>
      </vt:variant>
      <vt:variant>
        <vt:i4>5</vt:i4>
      </vt:variant>
      <vt:variant>
        <vt:lpwstr/>
      </vt:variant>
      <vt:variant>
        <vt:lpwstr>_Toc459885096</vt:lpwstr>
      </vt:variant>
      <vt:variant>
        <vt:i4>1441845</vt:i4>
      </vt:variant>
      <vt:variant>
        <vt:i4>119</vt:i4>
      </vt:variant>
      <vt:variant>
        <vt:i4>0</vt:i4>
      </vt:variant>
      <vt:variant>
        <vt:i4>5</vt:i4>
      </vt:variant>
      <vt:variant>
        <vt:lpwstr/>
      </vt:variant>
      <vt:variant>
        <vt:lpwstr>_Toc459885095</vt:lpwstr>
      </vt:variant>
      <vt:variant>
        <vt:i4>1441845</vt:i4>
      </vt:variant>
      <vt:variant>
        <vt:i4>113</vt:i4>
      </vt:variant>
      <vt:variant>
        <vt:i4>0</vt:i4>
      </vt:variant>
      <vt:variant>
        <vt:i4>5</vt:i4>
      </vt:variant>
      <vt:variant>
        <vt:lpwstr/>
      </vt:variant>
      <vt:variant>
        <vt:lpwstr>_Toc459885094</vt:lpwstr>
      </vt:variant>
      <vt:variant>
        <vt:i4>1441845</vt:i4>
      </vt:variant>
      <vt:variant>
        <vt:i4>107</vt:i4>
      </vt:variant>
      <vt:variant>
        <vt:i4>0</vt:i4>
      </vt:variant>
      <vt:variant>
        <vt:i4>5</vt:i4>
      </vt:variant>
      <vt:variant>
        <vt:lpwstr/>
      </vt:variant>
      <vt:variant>
        <vt:lpwstr>_Toc459885093</vt:lpwstr>
      </vt:variant>
      <vt:variant>
        <vt:i4>1441845</vt:i4>
      </vt:variant>
      <vt:variant>
        <vt:i4>101</vt:i4>
      </vt:variant>
      <vt:variant>
        <vt:i4>0</vt:i4>
      </vt:variant>
      <vt:variant>
        <vt:i4>5</vt:i4>
      </vt:variant>
      <vt:variant>
        <vt:lpwstr/>
      </vt:variant>
      <vt:variant>
        <vt:lpwstr>_Toc459885092</vt:lpwstr>
      </vt:variant>
      <vt:variant>
        <vt:i4>1441845</vt:i4>
      </vt:variant>
      <vt:variant>
        <vt:i4>95</vt:i4>
      </vt:variant>
      <vt:variant>
        <vt:i4>0</vt:i4>
      </vt:variant>
      <vt:variant>
        <vt:i4>5</vt:i4>
      </vt:variant>
      <vt:variant>
        <vt:lpwstr/>
      </vt:variant>
      <vt:variant>
        <vt:lpwstr>_Toc459885091</vt:lpwstr>
      </vt:variant>
      <vt:variant>
        <vt:i4>1441845</vt:i4>
      </vt:variant>
      <vt:variant>
        <vt:i4>89</vt:i4>
      </vt:variant>
      <vt:variant>
        <vt:i4>0</vt:i4>
      </vt:variant>
      <vt:variant>
        <vt:i4>5</vt:i4>
      </vt:variant>
      <vt:variant>
        <vt:lpwstr/>
      </vt:variant>
      <vt:variant>
        <vt:lpwstr>_Toc459885090</vt:lpwstr>
      </vt:variant>
      <vt:variant>
        <vt:i4>1507381</vt:i4>
      </vt:variant>
      <vt:variant>
        <vt:i4>83</vt:i4>
      </vt:variant>
      <vt:variant>
        <vt:i4>0</vt:i4>
      </vt:variant>
      <vt:variant>
        <vt:i4>5</vt:i4>
      </vt:variant>
      <vt:variant>
        <vt:lpwstr/>
      </vt:variant>
      <vt:variant>
        <vt:lpwstr>_Toc459885089</vt:lpwstr>
      </vt:variant>
      <vt:variant>
        <vt:i4>1507381</vt:i4>
      </vt:variant>
      <vt:variant>
        <vt:i4>77</vt:i4>
      </vt:variant>
      <vt:variant>
        <vt:i4>0</vt:i4>
      </vt:variant>
      <vt:variant>
        <vt:i4>5</vt:i4>
      </vt:variant>
      <vt:variant>
        <vt:lpwstr/>
      </vt:variant>
      <vt:variant>
        <vt:lpwstr>_Toc459885088</vt:lpwstr>
      </vt:variant>
      <vt:variant>
        <vt:i4>1507381</vt:i4>
      </vt:variant>
      <vt:variant>
        <vt:i4>71</vt:i4>
      </vt:variant>
      <vt:variant>
        <vt:i4>0</vt:i4>
      </vt:variant>
      <vt:variant>
        <vt:i4>5</vt:i4>
      </vt:variant>
      <vt:variant>
        <vt:lpwstr/>
      </vt:variant>
      <vt:variant>
        <vt:lpwstr>_Toc459885087</vt:lpwstr>
      </vt:variant>
      <vt:variant>
        <vt:i4>1507381</vt:i4>
      </vt:variant>
      <vt:variant>
        <vt:i4>65</vt:i4>
      </vt:variant>
      <vt:variant>
        <vt:i4>0</vt:i4>
      </vt:variant>
      <vt:variant>
        <vt:i4>5</vt:i4>
      </vt:variant>
      <vt:variant>
        <vt:lpwstr/>
      </vt:variant>
      <vt:variant>
        <vt:lpwstr>_Toc459885086</vt:lpwstr>
      </vt:variant>
      <vt:variant>
        <vt:i4>1507381</vt:i4>
      </vt:variant>
      <vt:variant>
        <vt:i4>59</vt:i4>
      </vt:variant>
      <vt:variant>
        <vt:i4>0</vt:i4>
      </vt:variant>
      <vt:variant>
        <vt:i4>5</vt:i4>
      </vt:variant>
      <vt:variant>
        <vt:lpwstr/>
      </vt:variant>
      <vt:variant>
        <vt:lpwstr>_Toc459885085</vt:lpwstr>
      </vt:variant>
      <vt:variant>
        <vt:i4>1507381</vt:i4>
      </vt:variant>
      <vt:variant>
        <vt:i4>53</vt:i4>
      </vt:variant>
      <vt:variant>
        <vt:i4>0</vt:i4>
      </vt:variant>
      <vt:variant>
        <vt:i4>5</vt:i4>
      </vt:variant>
      <vt:variant>
        <vt:lpwstr/>
      </vt:variant>
      <vt:variant>
        <vt:lpwstr>_Toc459885084</vt:lpwstr>
      </vt:variant>
      <vt:variant>
        <vt:i4>1507381</vt:i4>
      </vt:variant>
      <vt:variant>
        <vt:i4>47</vt:i4>
      </vt:variant>
      <vt:variant>
        <vt:i4>0</vt:i4>
      </vt:variant>
      <vt:variant>
        <vt:i4>5</vt:i4>
      </vt:variant>
      <vt:variant>
        <vt:lpwstr/>
      </vt:variant>
      <vt:variant>
        <vt:lpwstr>_Toc459885083</vt:lpwstr>
      </vt:variant>
      <vt:variant>
        <vt:i4>1507381</vt:i4>
      </vt:variant>
      <vt:variant>
        <vt:i4>41</vt:i4>
      </vt:variant>
      <vt:variant>
        <vt:i4>0</vt:i4>
      </vt:variant>
      <vt:variant>
        <vt:i4>5</vt:i4>
      </vt:variant>
      <vt:variant>
        <vt:lpwstr/>
      </vt:variant>
      <vt:variant>
        <vt:lpwstr>_Toc459885082</vt:lpwstr>
      </vt:variant>
      <vt:variant>
        <vt:i4>1507381</vt:i4>
      </vt:variant>
      <vt:variant>
        <vt:i4>35</vt:i4>
      </vt:variant>
      <vt:variant>
        <vt:i4>0</vt:i4>
      </vt:variant>
      <vt:variant>
        <vt:i4>5</vt:i4>
      </vt:variant>
      <vt:variant>
        <vt:lpwstr/>
      </vt:variant>
      <vt:variant>
        <vt:lpwstr>_Toc459885081</vt:lpwstr>
      </vt:variant>
      <vt:variant>
        <vt:i4>1507381</vt:i4>
      </vt:variant>
      <vt:variant>
        <vt:i4>29</vt:i4>
      </vt:variant>
      <vt:variant>
        <vt:i4>0</vt:i4>
      </vt:variant>
      <vt:variant>
        <vt:i4>5</vt:i4>
      </vt:variant>
      <vt:variant>
        <vt:lpwstr/>
      </vt:variant>
      <vt:variant>
        <vt:lpwstr>_Toc459885080</vt:lpwstr>
      </vt:variant>
      <vt:variant>
        <vt:i4>1572917</vt:i4>
      </vt:variant>
      <vt:variant>
        <vt:i4>23</vt:i4>
      </vt:variant>
      <vt:variant>
        <vt:i4>0</vt:i4>
      </vt:variant>
      <vt:variant>
        <vt:i4>5</vt:i4>
      </vt:variant>
      <vt:variant>
        <vt:lpwstr/>
      </vt:variant>
      <vt:variant>
        <vt:lpwstr>_Toc459885079</vt:lpwstr>
      </vt:variant>
      <vt:variant>
        <vt:i4>1572917</vt:i4>
      </vt:variant>
      <vt:variant>
        <vt:i4>17</vt:i4>
      </vt:variant>
      <vt:variant>
        <vt:i4>0</vt:i4>
      </vt:variant>
      <vt:variant>
        <vt:i4>5</vt:i4>
      </vt:variant>
      <vt:variant>
        <vt:lpwstr/>
      </vt:variant>
      <vt:variant>
        <vt:lpwstr>_Toc459885078</vt:lpwstr>
      </vt:variant>
      <vt:variant>
        <vt:i4>1572917</vt:i4>
      </vt:variant>
      <vt:variant>
        <vt:i4>11</vt:i4>
      </vt:variant>
      <vt:variant>
        <vt:i4>0</vt:i4>
      </vt:variant>
      <vt:variant>
        <vt:i4>5</vt:i4>
      </vt:variant>
      <vt:variant>
        <vt:lpwstr/>
      </vt:variant>
      <vt:variant>
        <vt:lpwstr>_Toc459885077</vt:lpwstr>
      </vt:variant>
      <vt:variant>
        <vt:i4>1572917</vt:i4>
      </vt:variant>
      <vt:variant>
        <vt:i4>5</vt:i4>
      </vt:variant>
      <vt:variant>
        <vt:i4>0</vt:i4>
      </vt:variant>
      <vt:variant>
        <vt:i4>5</vt:i4>
      </vt:variant>
      <vt:variant>
        <vt:lpwstr/>
      </vt:variant>
      <vt:variant>
        <vt:lpwstr>_Toc459885076</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Picheta, Anna</cp:lastModifiedBy>
  <cp:revision>2</cp:revision>
  <cp:lastPrinted>2016-08-30T12:29:00Z</cp:lastPrinted>
  <dcterms:created xsi:type="dcterms:W3CDTF">2018-04-20T11:18:00Z</dcterms:created>
  <dcterms:modified xsi:type="dcterms:W3CDTF">2018-04-20T11:18:00Z</dcterms:modified>
</cp:coreProperties>
</file>