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1557F" w14:textId="6C135A11" w:rsidR="00443BE5" w:rsidRPr="007B1D88" w:rsidRDefault="003B4333" w:rsidP="007B1D88">
      <w:pPr>
        <w:spacing w:after="240" w:line="240" w:lineRule="auto"/>
        <w:rPr>
          <w:rFonts w:cstheme="minorHAnsi"/>
          <w:b/>
          <w:bCs/>
        </w:rPr>
      </w:pPr>
      <w:bookmarkStart w:id="0" w:name="_GoBack"/>
      <w:bookmarkEnd w:id="0"/>
      <w:r w:rsidRPr="007B1D88">
        <w:rPr>
          <w:rFonts w:cstheme="minorHAnsi"/>
          <w:b/>
          <w:bCs/>
        </w:rPr>
        <w:t>Pytania i odpowiedzi</w:t>
      </w:r>
    </w:p>
    <w:p w14:paraId="3D73420D" w14:textId="09B9BA94" w:rsidR="003B4333" w:rsidRPr="007B1D88" w:rsidRDefault="003B4333" w:rsidP="007B1D88">
      <w:pPr>
        <w:spacing w:after="240" w:line="240" w:lineRule="auto"/>
        <w:rPr>
          <w:rFonts w:cstheme="minorHAnsi"/>
        </w:rPr>
      </w:pPr>
    </w:p>
    <w:p w14:paraId="39633A37" w14:textId="46F82B36" w:rsidR="00572A34" w:rsidRPr="002F02E9" w:rsidRDefault="00572A34" w:rsidP="007B1D88">
      <w:pPr>
        <w:spacing w:after="240" w:line="240" w:lineRule="auto"/>
        <w:jc w:val="both"/>
        <w:rPr>
          <w:rFonts w:cstheme="minorHAnsi"/>
          <w:b/>
          <w:bCs/>
        </w:rPr>
      </w:pPr>
      <w:r w:rsidRPr="002F02E9">
        <w:rPr>
          <w:rFonts w:cstheme="minorHAnsi"/>
          <w:b/>
          <w:bCs/>
        </w:rPr>
        <w:t xml:space="preserve">Czy </w:t>
      </w:r>
      <w:r w:rsidR="00DB3FCC" w:rsidRPr="002F02E9">
        <w:rPr>
          <w:rFonts w:cstheme="minorHAnsi"/>
          <w:b/>
          <w:bCs/>
        </w:rPr>
        <w:t xml:space="preserve">mogę składać wniosek jeśli w Wezwaniu nie został ujęty kod PKD, zgodnie z którym </w:t>
      </w:r>
      <w:r w:rsidR="007B1D88" w:rsidRPr="002F02E9">
        <w:rPr>
          <w:rFonts w:cstheme="minorHAnsi"/>
          <w:b/>
          <w:bCs/>
        </w:rPr>
        <w:t>prowadzę działalność gospodarczą?</w:t>
      </w:r>
    </w:p>
    <w:p w14:paraId="4A5C40FB" w14:textId="7437103B" w:rsidR="007B1D88" w:rsidRPr="002F02E9" w:rsidRDefault="007B1D88" w:rsidP="007B1D88">
      <w:pPr>
        <w:spacing w:after="240" w:line="240" w:lineRule="auto"/>
        <w:ind w:firstLine="709"/>
        <w:jc w:val="both"/>
        <w:rPr>
          <w:rFonts w:cstheme="minorHAnsi"/>
        </w:rPr>
      </w:pPr>
      <w:r w:rsidRPr="002F02E9">
        <w:rPr>
          <w:rFonts w:cstheme="minorHAnsi"/>
        </w:rPr>
        <w:t>Nabór nr RPSW.02.05.00-IZ.00-26-320/20 dotyczy wsparcia na kapitał obrotowy dla wszystkich mikro i małych przedsiębiorstw, które w związku z zakłóceniami w funkcjonowaniu gospodarki na skutek wystąpienia pandemii COVID-19, znaleźli się w trudnej sytuacji ekonomicznej. Wsparcie jest przeznaczone na finansowanie kapitału obrotowego w celu zaspokojenia pilnych potrzeb przedsiębiorców w zakresie płynności i przezwyciężenia trudności finansowych, które zaistniały wskutek pandemii COVID-19.</w:t>
      </w:r>
    </w:p>
    <w:p w14:paraId="5035B18D" w14:textId="772F301E" w:rsidR="007B1D88" w:rsidRPr="002F02E9" w:rsidRDefault="007B1D88" w:rsidP="007B1D88">
      <w:pPr>
        <w:spacing w:after="240" w:line="240" w:lineRule="auto"/>
        <w:ind w:firstLine="708"/>
        <w:jc w:val="both"/>
        <w:rPr>
          <w:rFonts w:cstheme="minorHAnsi"/>
        </w:rPr>
      </w:pPr>
      <w:r w:rsidRPr="002F02E9">
        <w:rPr>
          <w:rFonts w:cstheme="minorHAnsi"/>
        </w:rPr>
        <w:t xml:space="preserve">Kwota przeznaczona na dofinansowanie projektów w niniejszym konkursie wynosi </w:t>
      </w:r>
      <w:r w:rsidRPr="002F02E9">
        <w:rPr>
          <w:rFonts w:cstheme="minorHAnsi"/>
        </w:rPr>
        <w:br/>
      </w:r>
      <w:r w:rsidRPr="002F02E9">
        <w:rPr>
          <w:rFonts w:cstheme="minorHAnsi"/>
          <w:bCs/>
        </w:rPr>
        <w:t>40.000.000,00</w:t>
      </w:r>
      <w:r w:rsidRPr="002F02E9">
        <w:rPr>
          <w:rFonts w:cstheme="minorHAnsi"/>
        </w:rPr>
        <w:t xml:space="preserve"> </w:t>
      </w:r>
      <w:r w:rsidRPr="002F02E9">
        <w:rPr>
          <w:rFonts w:cstheme="minorHAnsi"/>
          <w:bCs/>
        </w:rPr>
        <w:t xml:space="preserve">zł, z czego 20.000.000,00zł zostało </w:t>
      </w:r>
      <w:r w:rsidRPr="002F02E9">
        <w:rPr>
          <w:rFonts w:cstheme="minorHAnsi"/>
        </w:rPr>
        <w:t xml:space="preserve">wydzielone, w ramach schematu A, dla przedsiębiorstw, które prowadzą jako przeważającą działalność gospodarczą wymienioną </w:t>
      </w:r>
      <w:r w:rsidRPr="002F02E9">
        <w:rPr>
          <w:rFonts w:cstheme="minorHAnsi"/>
        </w:rPr>
        <w:br/>
        <w:t xml:space="preserve">w </w:t>
      </w:r>
      <w:r w:rsidRPr="002F02E9">
        <w:rPr>
          <w:rFonts w:cstheme="minorHAnsi"/>
          <w:i/>
        </w:rPr>
        <w:t>Rozdziale 4 §5 ust. 1. pkt. 1)</w:t>
      </w:r>
      <w:r w:rsidRPr="002F02E9">
        <w:rPr>
          <w:rFonts w:cstheme="minorHAnsi"/>
        </w:rPr>
        <w:t xml:space="preserve"> </w:t>
      </w:r>
      <w:r w:rsidRPr="002F02E9">
        <w:rPr>
          <w:rFonts w:cstheme="minorHAnsi"/>
          <w:i/>
        </w:rPr>
        <w:t xml:space="preserve">Rozporządzenia Ministra Zdrowia z dnia 13 marca 2020r. w sprawie ogłoszenia na obszarze Rzeczypospolitej Polskiej stanu zagrożenia epidemicznego </w:t>
      </w:r>
      <w:r w:rsidRPr="002F02E9">
        <w:rPr>
          <w:rFonts w:cstheme="minorHAnsi"/>
        </w:rPr>
        <w:t>oraz</w:t>
      </w:r>
      <w:r w:rsidRPr="002F02E9">
        <w:rPr>
          <w:rFonts w:cstheme="minorHAnsi"/>
          <w:i/>
        </w:rPr>
        <w:t xml:space="preserve"> Rozdziale 4 §8. ust. 1. pkt. 1) Rozporządzenia Rady Ministrów z dnia 31 marca 2020 r. w sprawie ustanowienia określonych ograniczeń, nakazów i zakazów w związku z wystąpieniem stanu epidemii</w:t>
      </w:r>
      <w:r w:rsidRPr="002F02E9">
        <w:rPr>
          <w:rFonts w:cstheme="minorHAnsi"/>
        </w:rPr>
        <w:t>.</w:t>
      </w:r>
    </w:p>
    <w:p w14:paraId="1E7D68A5" w14:textId="6855F0E6" w:rsidR="007B1D88" w:rsidRPr="002F02E9" w:rsidRDefault="007B1D88" w:rsidP="007B1D88">
      <w:pPr>
        <w:spacing w:after="240" w:line="240" w:lineRule="auto"/>
        <w:ind w:firstLine="708"/>
        <w:jc w:val="both"/>
        <w:rPr>
          <w:rFonts w:cstheme="minorHAnsi"/>
        </w:rPr>
      </w:pPr>
      <w:r w:rsidRPr="002F02E9">
        <w:rPr>
          <w:rFonts w:cstheme="minorHAnsi"/>
          <w:bCs/>
        </w:rPr>
        <w:t xml:space="preserve">Mając na uwadze powyższe, w ramach schematu A będą mogły się ubiegać podmioty </w:t>
      </w:r>
      <w:r w:rsidRPr="002F02E9">
        <w:rPr>
          <w:rFonts w:cstheme="minorHAnsi"/>
        </w:rPr>
        <w:t>prowadzące działalność w branżach najbardziej poszkodowanych, które od 14 marca 2020 r. nie mogły prowadzić działalności lub prowadziły działalność w ograniczonym zakresie, tj. m.in.: gastronomia, turystyka, hotelarstwo, usługi kosmetyczne, fryzjerskie, organizacja imprez, wystaw, targów, itd.</w:t>
      </w:r>
    </w:p>
    <w:p w14:paraId="2C9F1720" w14:textId="77777777" w:rsidR="007B1D88" w:rsidRPr="002F02E9" w:rsidRDefault="007B1D88" w:rsidP="007B1D88">
      <w:pPr>
        <w:spacing w:after="240" w:line="240" w:lineRule="auto"/>
        <w:ind w:firstLine="708"/>
        <w:jc w:val="both"/>
        <w:rPr>
          <w:rFonts w:cstheme="minorHAnsi"/>
        </w:rPr>
      </w:pPr>
      <w:r w:rsidRPr="002F02E9">
        <w:rPr>
          <w:rFonts w:cstheme="minorHAnsi"/>
        </w:rPr>
        <w:t xml:space="preserve">Jednocześnie z uwagi na fakt, iż pandemia COVID-19 bardzo poważnie wpłynęła również na pozostałe branże, przedsiębiorstwa </w:t>
      </w:r>
      <w:r w:rsidRPr="002F02E9">
        <w:rPr>
          <w:rFonts w:eastAsia="Calibri" w:cstheme="minorHAnsi"/>
          <w:bCs/>
        </w:rPr>
        <w:t>prowadzące działalność gospodarczą inną niż wskazaną powyżej, mogą ubiegać się o wsparcie w ramach schematu B, na który również w tym samym naborze przeznaczono 20.000.000,00zł.</w:t>
      </w:r>
    </w:p>
    <w:p w14:paraId="74BDF330" w14:textId="6E470316" w:rsidR="000E2FCE" w:rsidRPr="007B1D88" w:rsidRDefault="007B1D88" w:rsidP="007B1D88">
      <w:pPr>
        <w:spacing w:after="240" w:line="240" w:lineRule="auto"/>
        <w:ind w:firstLine="708"/>
        <w:jc w:val="both"/>
        <w:rPr>
          <w:rFonts w:cstheme="minorHAnsi"/>
        </w:rPr>
      </w:pPr>
      <w:r w:rsidRPr="002F02E9">
        <w:rPr>
          <w:rFonts w:cstheme="minorHAnsi"/>
        </w:rPr>
        <w:t>W ramach naboru przygotowano jeden formularz wniosku, który został dostosowany zarówno dla schematu A jak i schematu B.</w:t>
      </w:r>
    </w:p>
    <w:p w14:paraId="73A10FA3" w14:textId="648A3845" w:rsidR="000E2FCE" w:rsidRPr="007B1D88" w:rsidRDefault="000E2FCE" w:rsidP="007B1D88">
      <w:pPr>
        <w:spacing w:after="240" w:line="240" w:lineRule="auto"/>
        <w:jc w:val="both"/>
        <w:rPr>
          <w:rFonts w:cstheme="minorHAnsi"/>
          <w:b/>
          <w:bCs/>
        </w:rPr>
      </w:pPr>
      <w:r w:rsidRPr="007B1D88">
        <w:rPr>
          <w:rFonts w:cstheme="minorHAnsi"/>
          <w:b/>
          <w:bCs/>
        </w:rPr>
        <w:t>Dlaczego nie mogę edy</w:t>
      </w:r>
      <w:r w:rsidR="00F1048D" w:rsidRPr="007B1D88">
        <w:rPr>
          <w:rFonts w:cstheme="minorHAnsi"/>
          <w:b/>
          <w:bCs/>
        </w:rPr>
        <w:t>tować</w:t>
      </w:r>
      <w:r w:rsidRPr="007B1D88">
        <w:rPr>
          <w:rFonts w:cstheme="minorHAnsi"/>
          <w:b/>
          <w:bCs/>
        </w:rPr>
        <w:t xml:space="preserve"> wniosku?</w:t>
      </w:r>
    </w:p>
    <w:p w14:paraId="3CE486F2" w14:textId="77777777" w:rsidR="00F1048D" w:rsidRPr="007B1D88" w:rsidRDefault="000E2FCE" w:rsidP="007B1D88">
      <w:pPr>
        <w:spacing w:after="240" w:line="240" w:lineRule="auto"/>
        <w:jc w:val="both"/>
        <w:rPr>
          <w:rFonts w:cstheme="minorHAnsi"/>
        </w:rPr>
      </w:pPr>
      <w:r w:rsidRPr="007B1D88">
        <w:rPr>
          <w:rFonts w:cstheme="minorHAnsi"/>
        </w:rPr>
        <w:t xml:space="preserve">Prawdopodobnie </w:t>
      </w:r>
      <w:r w:rsidR="00F1048D" w:rsidRPr="007B1D88">
        <w:rPr>
          <w:rFonts w:cstheme="minorHAnsi"/>
        </w:rPr>
        <w:t>w trakcie wypełniania wniosku wpisano</w:t>
      </w:r>
      <w:r w:rsidRPr="007B1D88">
        <w:rPr>
          <w:rFonts w:cstheme="minorHAnsi"/>
        </w:rPr>
        <w:t xml:space="preserve"> błędn</w:t>
      </w:r>
      <w:r w:rsidR="00F1048D" w:rsidRPr="007B1D88">
        <w:rPr>
          <w:rFonts w:cstheme="minorHAnsi"/>
        </w:rPr>
        <w:t>y</w:t>
      </w:r>
      <w:r w:rsidRPr="007B1D88">
        <w:rPr>
          <w:rFonts w:cstheme="minorHAnsi"/>
        </w:rPr>
        <w:t xml:space="preserve"> numer NIP </w:t>
      </w:r>
      <w:r w:rsidR="00F1048D" w:rsidRPr="007B1D88">
        <w:rPr>
          <w:rFonts w:cstheme="minorHAnsi"/>
        </w:rPr>
        <w:t xml:space="preserve">wnioskodawcy </w:t>
      </w:r>
      <w:r w:rsidRPr="007B1D88">
        <w:rPr>
          <w:rFonts w:cstheme="minorHAnsi"/>
        </w:rPr>
        <w:t>bądź PESEL osob</w:t>
      </w:r>
      <w:r w:rsidR="00F1048D" w:rsidRPr="007B1D88">
        <w:rPr>
          <w:rFonts w:cstheme="minorHAnsi"/>
        </w:rPr>
        <w:t>y</w:t>
      </w:r>
      <w:r w:rsidRPr="007B1D88">
        <w:rPr>
          <w:rFonts w:cstheme="minorHAnsi"/>
        </w:rPr>
        <w:t xml:space="preserve"> do kontaktów roboczych</w:t>
      </w:r>
      <w:r w:rsidR="00F1048D" w:rsidRPr="007B1D88">
        <w:rPr>
          <w:rFonts w:cstheme="minorHAnsi"/>
        </w:rPr>
        <w:t xml:space="preserve">. </w:t>
      </w:r>
    </w:p>
    <w:p w14:paraId="621BF79E" w14:textId="1F9D7FC3" w:rsidR="000E2FCE" w:rsidRPr="007B1D88" w:rsidRDefault="00F1048D" w:rsidP="007B1D88">
      <w:pPr>
        <w:spacing w:after="240" w:line="240" w:lineRule="auto"/>
        <w:jc w:val="both"/>
        <w:rPr>
          <w:rFonts w:cstheme="minorHAnsi"/>
        </w:rPr>
      </w:pPr>
      <w:r w:rsidRPr="007B1D88">
        <w:rPr>
          <w:rFonts w:cstheme="minorHAnsi"/>
        </w:rPr>
        <w:t xml:space="preserve">W trakcie wypełniania wniosku przy wpisywaniu numerów NIP, PESEL, REGON </w:t>
      </w:r>
      <w:r w:rsidR="00476658" w:rsidRPr="007B1D88">
        <w:rPr>
          <w:rFonts w:cstheme="minorHAnsi"/>
        </w:rPr>
        <w:t xml:space="preserve">itp. należy </w:t>
      </w:r>
      <w:r w:rsidRPr="007B1D88">
        <w:rPr>
          <w:rFonts w:cstheme="minorHAnsi"/>
        </w:rPr>
        <w:t xml:space="preserve"> </w:t>
      </w:r>
      <w:r w:rsidR="00476658" w:rsidRPr="007B1D88">
        <w:rPr>
          <w:rFonts w:cstheme="minorHAnsi"/>
        </w:rPr>
        <w:t>wpisywać wyłącznie cyfry, bez spacji, „-”.</w:t>
      </w:r>
    </w:p>
    <w:p w14:paraId="3CB35286" w14:textId="39D35A0F" w:rsidR="00476658" w:rsidRPr="007B1D88" w:rsidRDefault="00476658" w:rsidP="007B1D88">
      <w:pPr>
        <w:spacing w:after="240" w:line="240" w:lineRule="auto"/>
        <w:rPr>
          <w:rFonts w:eastAsia="Times New Roman" w:cstheme="minorHAnsi"/>
          <w:lang w:eastAsia="pl-PL"/>
        </w:rPr>
      </w:pPr>
      <w:r w:rsidRPr="007B1D88">
        <w:rPr>
          <w:rFonts w:eastAsia="Times New Roman" w:cstheme="minorHAnsi"/>
          <w:b/>
          <w:bCs/>
          <w:lang w:eastAsia="pl-PL"/>
        </w:rPr>
        <w:t>Czy na etapie składania wniosku potrzebny będzie podpis kwalifikowany?</w:t>
      </w:r>
    </w:p>
    <w:p w14:paraId="3C817A36" w14:textId="45448B50" w:rsidR="00476658" w:rsidRPr="007B1D88" w:rsidRDefault="00476658" w:rsidP="007B1D88">
      <w:pPr>
        <w:spacing w:after="240" w:line="240" w:lineRule="auto"/>
        <w:jc w:val="both"/>
        <w:rPr>
          <w:rFonts w:eastAsia="Times New Roman" w:cstheme="minorHAnsi"/>
          <w:lang w:eastAsia="pl-PL"/>
        </w:rPr>
      </w:pPr>
      <w:r w:rsidRPr="007B1D88">
        <w:rPr>
          <w:rFonts w:eastAsia="Times New Roman" w:cstheme="minorHAnsi"/>
          <w:lang w:eastAsia="pl-PL"/>
        </w:rPr>
        <w:t xml:space="preserve">Na etapie składania wniosku nie jest wymagany podpis kwalifikowalny. Wniosek o dofinansowanie należy wypełnić w języku polskim we wszystkich wymaganych polach oraz przesłać </w:t>
      </w:r>
      <w:r w:rsidRPr="007B1D88">
        <w:rPr>
          <w:rFonts w:eastAsia="Times New Roman" w:cstheme="minorHAnsi"/>
          <w:u w:val="single"/>
          <w:lang w:eastAsia="pl-PL"/>
        </w:rPr>
        <w:t>wyłącznie</w:t>
      </w:r>
      <w:r w:rsidRPr="007B1D88">
        <w:rPr>
          <w:rFonts w:eastAsia="Times New Roman" w:cstheme="minorHAnsi"/>
          <w:lang w:eastAsia="pl-PL"/>
        </w:rPr>
        <w:t xml:space="preserve"> </w:t>
      </w:r>
      <w:r w:rsidRPr="007B1D88">
        <w:rPr>
          <w:rFonts w:eastAsia="Times New Roman" w:cstheme="minorHAnsi"/>
          <w:b/>
          <w:lang w:eastAsia="pl-PL"/>
        </w:rPr>
        <w:t xml:space="preserve">w wersji elektronicznej </w:t>
      </w:r>
      <w:r w:rsidRPr="007B1D88">
        <w:rPr>
          <w:rFonts w:eastAsia="Times New Roman" w:cstheme="minorHAnsi"/>
          <w:bCs/>
          <w:lang w:eastAsia="pl-PL"/>
        </w:rPr>
        <w:t>dostępnej</w:t>
      </w:r>
      <w:r w:rsidRPr="007B1D88">
        <w:rPr>
          <w:rFonts w:eastAsia="Times New Roman" w:cstheme="minorHAnsi"/>
          <w:b/>
          <w:lang w:eastAsia="pl-PL"/>
        </w:rPr>
        <w:t xml:space="preserve"> </w:t>
      </w:r>
      <w:r w:rsidRPr="007B1D88">
        <w:rPr>
          <w:rFonts w:eastAsia="Times New Roman" w:cstheme="minorHAnsi"/>
          <w:lang w:eastAsia="pl-PL"/>
        </w:rPr>
        <w:t xml:space="preserve">pod adresem: </w:t>
      </w:r>
      <w:hyperlink r:id="rId6" w:history="1">
        <w:r w:rsidRPr="007B1D88">
          <w:rPr>
            <w:rStyle w:val="Hipercze"/>
            <w:rFonts w:eastAsia="Times New Roman" w:cstheme="minorHAnsi"/>
            <w:lang w:eastAsia="pl-PL"/>
          </w:rPr>
          <w:t>https://obrotowe.rpo-swietokrzyskie.pl</w:t>
        </w:r>
      </w:hyperlink>
    </w:p>
    <w:p w14:paraId="71A15D64" w14:textId="77777777" w:rsidR="00476658" w:rsidRPr="007B1D88" w:rsidRDefault="00476658" w:rsidP="007B1D88">
      <w:pPr>
        <w:spacing w:after="240" w:line="240" w:lineRule="auto"/>
        <w:jc w:val="both"/>
        <w:rPr>
          <w:rFonts w:eastAsia="Times New Roman" w:cstheme="minorHAnsi"/>
          <w:lang w:eastAsia="pl-PL"/>
        </w:rPr>
      </w:pPr>
    </w:p>
    <w:p w14:paraId="0EDCDC87" w14:textId="77777777" w:rsidR="007B1D88" w:rsidRPr="007B1D88" w:rsidRDefault="007B1D88" w:rsidP="007B1D88">
      <w:pPr>
        <w:spacing w:after="240" w:line="240" w:lineRule="auto"/>
        <w:rPr>
          <w:rFonts w:cstheme="minorHAnsi"/>
          <w:b/>
          <w:bCs/>
        </w:rPr>
      </w:pPr>
    </w:p>
    <w:p w14:paraId="7DED7899" w14:textId="331EA315" w:rsidR="004B53AC" w:rsidRPr="007B1D88" w:rsidRDefault="004B53AC" w:rsidP="007B1D88">
      <w:pPr>
        <w:spacing w:after="240" w:line="240" w:lineRule="auto"/>
        <w:rPr>
          <w:rFonts w:cstheme="minorHAnsi"/>
          <w:b/>
          <w:bCs/>
        </w:rPr>
      </w:pPr>
      <w:r w:rsidRPr="007B1D88">
        <w:rPr>
          <w:rFonts w:cstheme="minorHAnsi"/>
          <w:b/>
          <w:bCs/>
        </w:rPr>
        <w:lastRenderedPageBreak/>
        <w:t>Czy do uzupełnionego wniosku o dofinansowanie należy dołączyć dodatkowe załączniki?</w:t>
      </w:r>
    </w:p>
    <w:p w14:paraId="44A4E996" w14:textId="600418B8" w:rsidR="004B53AC" w:rsidRPr="007B1D88" w:rsidRDefault="004B53AC" w:rsidP="007B1D88">
      <w:pPr>
        <w:spacing w:after="240" w:line="240" w:lineRule="auto"/>
        <w:rPr>
          <w:rFonts w:cstheme="minorHAnsi"/>
        </w:rPr>
      </w:pPr>
      <w:r w:rsidRPr="007B1D88">
        <w:rPr>
          <w:rFonts w:cstheme="minorHAnsi"/>
        </w:rPr>
        <w:t>Na etapie ubiegania się o dofinansowanie Wnioskodawca składa</w:t>
      </w:r>
      <w:r w:rsidR="00977BB3" w:rsidRPr="007B1D88">
        <w:rPr>
          <w:rFonts w:cstheme="minorHAnsi"/>
        </w:rPr>
        <w:t xml:space="preserve"> (wyłącznie za pośrednictwem strony </w:t>
      </w:r>
      <w:r w:rsidRPr="007B1D88">
        <w:rPr>
          <w:rFonts w:cstheme="minorHAnsi"/>
        </w:rPr>
        <w:t xml:space="preserve"> </w:t>
      </w:r>
      <w:hyperlink r:id="rId7" w:history="1">
        <w:r w:rsidR="00977BB3" w:rsidRPr="007B1D88">
          <w:rPr>
            <w:rStyle w:val="Hipercze"/>
            <w:rFonts w:cstheme="minorHAnsi"/>
          </w:rPr>
          <w:t>https://obrotowe.rpo-swietokrzyskie.pl/</w:t>
        </w:r>
      </w:hyperlink>
      <w:r w:rsidR="00977BB3" w:rsidRPr="007B1D88">
        <w:rPr>
          <w:rFonts w:cstheme="minorHAnsi"/>
        </w:rPr>
        <w:t xml:space="preserve">) </w:t>
      </w:r>
      <w:r w:rsidRPr="007B1D88">
        <w:rPr>
          <w:rFonts w:cstheme="minorHAnsi"/>
        </w:rPr>
        <w:t>jedynie wniosek o dofinansowanie. Dodatkowe dokumenty będą wymagane na etapie zawierania umowy o dofinansowanie.</w:t>
      </w:r>
    </w:p>
    <w:p w14:paraId="1220B74B" w14:textId="1B3CE72D" w:rsidR="003B4333" w:rsidRPr="007B1D88" w:rsidRDefault="003B4333" w:rsidP="007B1D88">
      <w:pPr>
        <w:spacing w:after="240" w:line="240" w:lineRule="auto"/>
        <w:rPr>
          <w:rFonts w:cstheme="minorHAnsi"/>
          <w:b/>
          <w:bCs/>
        </w:rPr>
      </w:pPr>
      <w:r w:rsidRPr="007B1D88">
        <w:rPr>
          <w:rFonts w:cstheme="minorHAnsi"/>
          <w:b/>
          <w:bCs/>
        </w:rPr>
        <w:t xml:space="preserve">Czy dotację można przeznaczyć na zakup środków trwałych jeśli są konieczne do funkcjonowania przedsiębiorstwa </w:t>
      </w:r>
    </w:p>
    <w:p w14:paraId="07E7EDB5" w14:textId="24D21E28" w:rsidR="003B4333" w:rsidRPr="007B1D88" w:rsidRDefault="003B4333" w:rsidP="007B1D88">
      <w:pPr>
        <w:spacing w:after="240" w:line="240" w:lineRule="auto"/>
        <w:rPr>
          <w:rFonts w:cstheme="minorHAnsi"/>
        </w:rPr>
      </w:pPr>
      <w:r w:rsidRPr="007B1D88">
        <w:rPr>
          <w:rFonts w:cstheme="minorHAnsi"/>
        </w:rPr>
        <w:t>Środki dotacji nie mogą zostać przeznaczone na wydatki inwestycyjne.</w:t>
      </w:r>
    </w:p>
    <w:p w14:paraId="4873B347" w14:textId="612CEB72" w:rsidR="00513ECE" w:rsidRPr="002F02E9" w:rsidRDefault="007B1D88" w:rsidP="007B1D88">
      <w:pPr>
        <w:spacing w:after="240" w:line="240" w:lineRule="auto"/>
        <w:rPr>
          <w:rFonts w:cstheme="minorHAnsi"/>
          <w:b/>
          <w:bCs/>
        </w:rPr>
      </w:pPr>
      <w:r w:rsidRPr="002F02E9">
        <w:rPr>
          <w:rFonts w:cstheme="minorHAnsi"/>
          <w:b/>
          <w:bCs/>
        </w:rPr>
        <w:t>Czy trudną sytuację z powodu pandemii COVID-19 należy rozumieć zgodnie z art. 2 pkt 18 rozporządzenia nr 651/2014, czy też jest to sytuacja niedoborów finansowych powstałych wyłącznie na skutek wystąpienia pandemii COVID-19</w:t>
      </w:r>
    </w:p>
    <w:p w14:paraId="12A97044" w14:textId="7861EE49"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Zgodnie ze stanowiskiem MFiPR aby wnioskodawca mógł uzyskać wsparcie na podstawie rozporządzenia Ministra Funduszy i Polityki Regionalnej z dnia 28 kwietnia 2020r. </w:t>
      </w:r>
      <w:r w:rsidRPr="002F02E9">
        <w:rPr>
          <w:rFonts w:eastAsia="Calibri" w:cstheme="minorHAnsi"/>
          <w:i/>
          <w:iCs/>
          <w:lang w:eastAsia="pl-PL"/>
        </w:rPr>
        <w:t xml:space="preserve">w sprawie udzielania pomocy w formie dotacji lub pomocy zwrotnej w ramach programów operacyjnych na lata 2014–2020 w celu wspierania polskiej gospodarki w związku z wystąpieniem pandemii COVID-19, </w:t>
      </w:r>
      <w:r w:rsidRPr="002F02E9">
        <w:rPr>
          <w:rFonts w:eastAsia="Calibri" w:cstheme="minorHAnsi"/>
          <w:lang w:eastAsia="pl-PL"/>
        </w:rPr>
        <w:t xml:space="preserve">konieczne jest zaistnienie korelacji pomiędzy pogorszeniem się sytuacji przedsiębiorcy a wystąpieniem pandemii COVID – 19. Wynika to z faktu, iż podstawa udzielania pomocy została stworzona ściśle w celu wsparcia tych przedsiębiorców którzy ucierpieli w wyniku pandemii COVID-19. Po stronie wnioskodawcy leży obowiązek udowodnienia, że pogorszenie jego sytuacji wystąpiło w związku z COVID-19. </w:t>
      </w:r>
    </w:p>
    <w:p w14:paraId="0944A2DE" w14:textId="77777777"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Treść §4 w/w Rozporządzenia ma przede wszystkim na celu wykluczenie ze wsparcia podmiotów, których trudna sytuacja wynika z przyczyn innych niż pandemia COVID–19, w szczególność jeśli stan ten miał miejsce jeszcze przed wybuchem pandemii.</w:t>
      </w:r>
    </w:p>
    <w:p w14:paraId="2928E109" w14:textId="56CC828C"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Odnosząc się do "trudnej sytuacji" w rozumieniu </w:t>
      </w:r>
      <w:r w:rsidRPr="002F02E9">
        <w:rPr>
          <w:rFonts w:eastAsia="Calibri" w:cstheme="minorHAnsi"/>
          <w:i/>
          <w:iCs/>
          <w:lang w:eastAsia="pl-PL"/>
        </w:rPr>
        <w:t xml:space="preserve">art. 2 pkt 18 rozporządzenia nr 651/2014, </w:t>
      </w:r>
      <w:r w:rsidRPr="002F02E9">
        <w:rPr>
          <w:rFonts w:eastAsia="Calibri" w:cstheme="minorHAnsi"/>
          <w:lang w:eastAsia="pl-PL"/>
        </w:rPr>
        <w:t xml:space="preserve">należy zaznaczyć, że wsparcie może otrzymać jedynie przedsiębiorstwo, które nie jest w „trudnej sytuacji” lub znalazło się w „trudnej sytuacji” po 31.12.2019r. w wyniku wystąpienia pandemii COVID-19. </w:t>
      </w:r>
    </w:p>
    <w:p w14:paraId="204DED90" w14:textId="1B33C930"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W związku z tym, należy zweryfikować zarówno czy sytuacja przedsiębiorcy pogorszyła się w związku </w:t>
      </w:r>
      <w:r w:rsidRPr="002F02E9">
        <w:rPr>
          <w:rFonts w:eastAsia="Calibri" w:cstheme="minorHAnsi"/>
          <w:lang w:eastAsia="pl-PL"/>
        </w:rPr>
        <w:br/>
        <w:t xml:space="preserve">z wystąpieniem pandemii COVID-19, jak również czy nie znajduje się w "trudnej sytuacji" w rozumieniu w rozumieniu </w:t>
      </w:r>
      <w:r w:rsidRPr="002F02E9">
        <w:rPr>
          <w:rFonts w:eastAsia="Calibri" w:cstheme="minorHAnsi"/>
          <w:i/>
          <w:iCs/>
          <w:lang w:eastAsia="pl-PL"/>
        </w:rPr>
        <w:t>art. 2 pkt 18 rozporządzenia nr 651/2014.</w:t>
      </w:r>
      <w:r w:rsidRPr="002F02E9">
        <w:rPr>
          <w:rFonts w:eastAsia="Calibri" w:cstheme="minorHAnsi"/>
          <w:lang w:eastAsia="pl-PL"/>
        </w:rPr>
        <w:t xml:space="preserve"> </w:t>
      </w:r>
    </w:p>
    <w:p w14:paraId="701F14B2" w14:textId="77777777"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Powyższe będzie badane na podstawie złożonych we wniosku oświadczeń, przedstawionego spadku obrotów oraz uzasadnienia zapotrzebowania na kapitał obrotowy w kontekście nagłego niedoboru lub braku płynności finansowej w wyniku wpływu koronawirusa COVID-19.</w:t>
      </w:r>
    </w:p>
    <w:p w14:paraId="462F0610" w14:textId="79275E85" w:rsidR="007B1D88" w:rsidRDefault="007B1D88" w:rsidP="007B1D88">
      <w:pPr>
        <w:spacing w:after="240" w:line="240" w:lineRule="auto"/>
        <w:jc w:val="both"/>
        <w:rPr>
          <w:rFonts w:eastAsia="Times New Roman" w:cstheme="minorHAnsi"/>
        </w:rPr>
      </w:pPr>
      <w:r w:rsidRPr="002F02E9">
        <w:rPr>
          <w:rFonts w:eastAsia="Calibri" w:cstheme="minorHAnsi"/>
        </w:rPr>
        <w:t xml:space="preserve">W przypadku przyjęcia projektu do realizacji, przed podpisaniem </w:t>
      </w:r>
      <w:r w:rsidRPr="002F02E9">
        <w:rPr>
          <w:rFonts w:eastAsia="Times New Roman" w:cstheme="minorHAnsi"/>
        </w:rPr>
        <w:t xml:space="preserve">umowy o dofinansowanie ION będzie wymagać od wnioskodawcy dodatkowych dokumentów potwierdzających pogorszenie sytuacji </w:t>
      </w:r>
      <w:r w:rsidRPr="002F02E9">
        <w:rPr>
          <w:rFonts w:eastAsia="Times New Roman" w:cstheme="minorHAnsi"/>
        </w:rPr>
        <w:br/>
        <w:t>w związku z COVID-19.</w:t>
      </w:r>
    </w:p>
    <w:p w14:paraId="03294B32" w14:textId="15086F61" w:rsidR="003B4333" w:rsidRPr="007B1D88" w:rsidRDefault="003B4333" w:rsidP="007B1D88">
      <w:pPr>
        <w:spacing w:after="240" w:line="240" w:lineRule="auto"/>
        <w:jc w:val="both"/>
        <w:rPr>
          <w:rFonts w:eastAsia="Calibri" w:cstheme="minorHAnsi"/>
          <w:lang w:eastAsia="pl-PL"/>
        </w:rPr>
      </w:pPr>
      <w:r w:rsidRPr="007B1D88">
        <w:rPr>
          <w:rFonts w:cstheme="minorHAnsi"/>
          <w:b/>
          <w:bCs/>
        </w:rPr>
        <w:t>Czy spółka cywilna może być wnioskodawcą?</w:t>
      </w:r>
    </w:p>
    <w:p w14:paraId="62366792" w14:textId="55820C86" w:rsidR="003B4333" w:rsidRPr="007B1D88" w:rsidRDefault="003B4333" w:rsidP="007B1D88">
      <w:pPr>
        <w:spacing w:after="240" w:line="240" w:lineRule="auto"/>
        <w:jc w:val="both"/>
        <w:rPr>
          <w:rFonts w:cstheme="minorHAnsi"/>
        </w:rPr>
      </w:pPr>
      <w:r w:rsidRPr="007B1D88">
        <w:rPr>
          <w:rFonts w:cstheme="minorHAnsi"/>
        </w:rPr>
        <w:t xml:space="preserve">Tak. </w:t>
      </w:r>
      <w:r w:rsidR="002D6A1B" w:rsidRPr="007B1D88">
        <w:rPr>
          <w:rFonts w:eastAsia="Times New Roman" w:cstheme="minorHAnsi"/>
          <w:lang w:eastAsia="pl-PL"/>
        </w:rPr>
        <w:t xml:space="preserve">Możliwe jest udzielanie wsparcia spółkom cywilnym. Wnioskodawcą pomocy jest wówczas spółka a nie jej wspólnicy. Niedopuszczalne jest, aby wsparcie uzyskała spółka cywilna i jednocześnie jej wspólnik/wspólnicy na prowadzoną indywidualną działalność gospodarczą. Oznacza to, że jeżeli wniosek o dofinansowanie składa spółka cywilna to jej wspólnicy są wykluczeni z możliwości ubiegania się o wsparcie na prowadzone przez nich indywidualne działalności gospodarcze. </w:t>
      </w:r>
      <w:r w:rsidR="002D6A1B" w:rsidRPr="007B1D88">
        <w:rPr>
          <w:rFonts w:eastAsia="Times New Roman" w:cstheme="minorHAnsi"/>
          <w:lang w:eastAsia="pl-PL"/>
        </w:rPr>
        <w:lastRenderedPageBreak/>
        <w:t>Natomiast, jeżeli wniosek o dofinansowanie składa osoba fizyczna prowadząca działalność gospodarczą, z możliwości ubiegania się o wsparcie wykluczone są wszystkie spółki cywilne, w których ww. przedsiębiorca jest wspólnikiem.</w:t>
      </w:r>
    </w:p>
    <w:p w14:paraId="79F0BBDA" w14:textId="48AC81EB" w:rsidR="003B4333" w:rsidRPr="007B1D88" w:rsidRDefault="003B4333" w:rsidP="007B1D88">
      <w:pPr>
        <w:spacing w:after="240" w:line="240" w:lineRule="auto"/>
        <w:rPr>
          <w:rFonts w:cstheme="minorHAnsi"/>
        </w:rPr>
      </w:pPr>
      <w:r w:rsidRPr="007B1D88">
        <w:rPr>
          <w:rFonts w:cstheme="minorHAnsi"/>
          <w:b/>
          <w:bCs/>
        </w:rPr>
        <w:t>Czy liczba etatów FTE może być ułamkiem (np. 1,5)? Jeśli nie, to czy można tę wartość zaokrąglić w górę?</w:t>
      </w:r>
    </w:p>
    <w:p w14:paraId="3C4FCD99" w14:textId="29EBBF4F" w:rsidR="003B4333" w:rsidRPr="007B1D88" w:rsidRDefault="003B4333" w:rsidP="007B1D88">
      <w:pPr>
        <w:spacing w:after="240" w:line="240" w:lineRule="auto"/>
        <w:rPr>
          <w:rFonts w:cstheme="minorHAnsi"/>
        </w:rPr>
      </w:pPr>
      <w:r w:rsidRPr="007B1D88">
        <w:rPr>
          <w:rFonts w:cstheme="minorHAnsi"/>
        </w:rPr>
        <w:t>Nie, FTE podaje się w przeliczeniu na pełne etaty, zaokrąglając w dół</w:t>
      </w:r>
      <w:r w:rsidR="00476658" w:rsidRPr="007B1D88">
        <w:rPr>
          <w:rFonts w:cstheme="minorHAnsi"/>
        </w:rPr>
        <w:t xml:space="preserve"> (w tym przypadku FTE =1)</w:t>
      </w:r>
      <w:r w:rsidRPr="007B1D88">
        <w:rPr>
          <w:rFonts w:cstheme="minorHAnsi"/>
        </w:rPr>
        <w:t>.</w:t>
      </w:r>
    </w:p>
    <w:p w14:paraId="685DC929" w14:textId="4F622822" w:rsidR="001632B9" w:rsidRPr="007B1D88" w:rsidRDefault="001632B9" w:rsidP="007B1D88">
      <w:pPr>
        <w:spacing w:after="240" w:line="240" w:lineRule="auto"/>
        <w:rPr>
          <w:rFonts w:cstheme="minorHAnsi"/>
        </w:rPr>
      </w:pPr>
      <w:r w:rsidRPr="007B1D88">
        <w:rPr>
          <w:rFonts w:cstheme="minorHAnsi"/>
          <w:b/>
          <w:bCs/>
        </w:rPr>
        <w:t>Czy przedsiębiorstwo, które zawiesiło swoją działalność w związku z COVID-19, będzie się mogło starać o dotację?</w:t>
      </w:r>
    </w:p>
    <w:p w14:paraId="1E2354F5" w14:textId="5EDB9610" w:rsidR="002D6A1B" w:rsidRPr="007B1D88" w:rsidRDefault="002D6A1B" w:rsidP="007B1D88">
      <w:pPr>
        <w:spacing w:after="240" w:line="240" w:lineRule="auto"/>
        <w:jc w:val="both"/>
        <w:rPr>
          <w:rFonts w:cstheme="minorHAnsi"/>
        </w:rPr>
      </w:pPr>
      <w:r w:rsidRPr="007B1D88">
        <w:rPr>
          <w:rFonts w:cstheme="minorHAnsi"/>
        </w:rPr>
        <w:t xml:space="preserve">O dofinansowanie mogą się ubiegać mikro i małe przedsiębiorstwa, które prowadziły działalność gospodarczą według stanu na dzień 31 grudnia 2019r. oraz </w:t>
      </w:r>
      <w:r w:rsidRPr="007B1D88">
        <w:rPr>
          <w:rFonts w:eastAsia="Calibri" w:cstheme="minorHAnsi"/>
          <w:lang w:eastAsia="pl-PL"/>
        </w:rPr>
        <w:t>według stanu na dzień składania wniosku prowadzą działalność gospodarczą, nie otworzyły likwidacji na podstawie KSH oraz na dzień złożenia wniosku nie zostało wobec nich otwarte postępowanie upadłościowe na podstawie Ustawy Prawo upadłościowe albo postępowanie restrukturyzacyjne na podstawie Ustawy Prawo restrukturyzacyjne</w:t>
      </w:r>
      <w:r w:rsidR="00572A34" w:rsidRPr="007B1D88">
        <w:rPr>
          <w:rFonts w:eastAsia="Calibri" w:cstheme="minorHAnsi"/>
          <w:lang w:eastAsia="pl-PL"/>
        </w:rPr>
        <w:t>.</w:t>
      </w:r>
    </w:p>
    <w:p w14:paraId="5B627030" w14:textId="7EA3CF8F" w:rsidR="001632B9" w:rsidRPr="007B1D88" w:rsidRDefault="001632B9" w:rsidP="007B1D88">
      <w:pPr>
        <w:spacing w:after="240" w:line="240" w:lineRule="auto"/>
        <w:rPr>
          <w:rFonts w:cstheme="minorHAnsi"/>
          <w:b/>
          <w:bCs/>
        </w:rPr>
      </w:pPr>
      <w:r w:rsidRPr="007B1D88">
        <w:rPr>
          <w:rFonts w:cstheme="minorHAnsi"/>
          <w:b/>
          <w:bCs/>
        </w:rPr>
        <w:t>Czy uczeń zatrudniony na umowę o pracę wliczany jest do liczby osób zatrudnionych?</w:t>
      </w:r>
    </w:p>
    <w:p w14:paraId="6A096CCC" w14:textId="6E66B58E" w:rsidR="001632B9" w:rsidRPr="007B1D88" w:rsidRDefault="001632B9" w:rsidP="007B1D88">
      <w:pPr>
        <w:spacing w:after="240" w:line="240" w:lineRule="auto"/>
        <w:rPr>
          <w:rFonts w:cstheme="minorHAnsi"/>
        </w:rPr>
      </w:pPr>
      <w:r w:rsidRPr="007B1D88">
        <w:rPr>
          <w:rFonts w:cstheme="minorHAnsi"/>
        </w:rPr>
        <w:t>Do wskaźnika FTE nie zalicza się osób zatrudnionych w celu przygotowania zawodowego.</w:t>
      </w:r>
    </w:p>
    <w:p w14:paraId="3CA704EC" w14:textId="5306D8CA" w:rsidR="001632B9" w:rsidRPr="007B1D88" w:rsidRDefault="001632B9" w:rsidP="007B1D88">
      <w:pPr>
        <w:spacing w:after="240" w:line="240" w:lineRule="auto"/>
        <w:jc w:val="both"/>
        <w:rPr>
          <w:rFonts w:cstheme="minorHAnsi"/>
          <w:b/>
          <w:bCs/>
        </w:rPr>
      </w:pPr>
      <w:r w:rsidRPr="007B1D88">
        <w:rPr>
          <w:rFonts w:cstheme="minorHAnsi"/>
          <w:b/>
          <w:bCs/>
        </w:rPr>
        <w:t xml:space="preserve">Czy </w:t>
      </w:r>
      <w:r w:rsidR="00C02308" w:rsidRPr="007B1D88">
        <w:rPr>
          <w:rFonts w:cstheme="minorHAnsi"/>
          <w:b/>
          <w:bCs/>
        </w:rPr>
        <w:t>do kalkulacji FTE</w:t>
      </w:r>
      <w:r w:rsidRPr="007B1D88">
        <w:rPr>
          <w:rFonts w:cstheme="minorHAnsi"/>
          <w:b/>
          <w:bCs/>
        </w:rPr>
        <w:t xml:space="preserve"> wlicza się właściciel i jego współmałżonek zatrudniony jako współpracownik</w:t>
      </w:r>
      <w:r w:rsidR="00C02308" w:rsidRPr="007B1D88">
        <w:rPr>
          <w:rFonts w:cstheme="minorHAnsi"/>
          <w:b/>
          <w:bCs/>
        </w:rPr>
        <w:t>?</w:t>
      </w:r>
    </w:p>
    <w:p w14:paraId="0EC142BD" w14:textId="4D271B9C" w:rsidR="001632B9" w:rsidRPr="007B1D88" w:rsidRDefault="00C02308" w:rsidP="007B1D88">
      <w:pPr>
        <w:pStyle w:val="Akapitzlist"/>
        <w:suppressAutoHyphens/>
        <w:spacing w:after="240" w:line="240" w:lineRule="auto"/>
        <w:ind w:left="0"/>
        <w:contextualSpacing w:val="0"/>
        <w:jc w:val="both"/>
        <w:rPr>
          <w:rFonts w:eastAsia="Times New Roman" w:cstheme="minorHAnsi"/>
        </w:rPr>
      </w:pPr>
      <w:r w:rsidRPr="007B1D88">
        <w:rPr>
          <w:rFonts w:eastAsia="Times New Roman" w:cstheme="minorHAnsi"/>
          <w:lang w:eastAsia="pl-PL"/>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Do wyliczenia FTE wlicza się osoby współpracujące, ale </w:t>
      </w:r>
      <w:r w:rsidRPr="007B1D88">
        <w:rPr>
          <w:rFonts w:eastAsia="Times New Roman" w:cstheme="minorHAnsi"/>
          <w:u w:val="single"/>
          <w:lang w:eastAsia="pl-PL"/>
        </w:rPr>
        <w:t xml:space="preserve">tylko zatrudnione w oparciu </w:t>
      </w:r>
      <w:r w:rsidR="007B1D88">
        <w:rPr>
          <w:rFonts w:eastAsia="Times New Roman" w:cstheme="minorHAnsi"/>
          <w:u w:val="single"/>
          <w:lang w:eastAsia="pl-PL"/>
        </w:rPr>
        <w:br/>
      </w:r>
      <w:r w:rsidRPr="007B1D88">
        <w:rPr>
          <w:rFonts w:eastAsia="Times New Roman" w:cstheme="minorHAnsi"/>
          <w:u w:val="single"/>
          <w:lang w:eastAsia="pl-PL"/>
        </w:rPr>
        <w:t>o umowę o pracę</w:t>
      </w:r>
      <w:r w:rsidRPr="007B1D88">
        <w:rPr>
          <w:rFonts w:eastAsia="Times New Roman" w:cstheme="minorHAnsi"/>
          <w:lang w:eastAsia="pl-PL"/>
        </w:rPr>
        <w:t xml:space="preserve">. </w:t>
      </w:r>
      <w:r w:rsidR="00852652" w:rsidRPr="007B1D88">
        <w:rPr>
          <w:rFonts w:eastAsia="Times New Roman" w:cstheme="minorHAnsi"/>
        </w:rPr>
        <w:t xml:space="preserve">Właściciel firmy jest uwzględniony w kalkulacji FTE tylko w przypadku, gdy prowadzi jednoosobową działalność gospodarczą (tzw. „samozatrudnienie”), natomiast gdy posiada pracowników zatrudnionych w oparciu o umowę o pracę w przeliczeniu na pełne etaty właściciel nie może być uwzględniony w kalkulacji FTE. </w:t>
      </w:r>
    </w:p>
    <w:p w14:paraId="6B89E3BD" w14:textId="48BB7335" w:rsidR="004B53AC" w:rsidRPr="007B1D88" w:rsidRDefault="004B53AC"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P</w:t>
      </w:r>
      <w:r w:rsidR="001632B9" w:rsidRPr="007B1D88">
        <w:rPr>
          <w:rFonts w:eastAsia="Times New Roman" w:cstheme="minorHAnsi"/>
          <w:b/>
          <w:bCs/>
          <w:lang w:eastAsia="pl-PL"/>
        </w:rPr>
        <w:t xml:space="preserve">rowadzę jednoosobową działalność gospodarczą oraz </w:t>
      </w:r>
      <w:r w:rsidR="00852652" w:rsidRPr="007B1D88">
        <w:rPr>
          <w:rFonts w:eastAsia="Times New Roman" w:cstheme="minorHAnsi"/>
          <w:b/>
          <w:bCs/>
          <w:lang w:eastAsia="pl-PL"/>
        </w:rPr>
        <w:t>mam pracownika na ½ etatu. Cz</w:t>
      </w:r>
      <w:r w:rsidR="001632B9" w:rsidRPr="007B1D88">
        <w:rPr>
          <w:rFonts w:eastAsia="Times New Roman" w:cstheme="minorHAnsi"/>
          <w:b/>
          <w:bCs/>
          <w:lang w:eastAsia="pl-PL"/>
        </w:rPr>
        <w:t xml:space="preserve">y mogę wnioskować o wsparcie na kapitał obrotowy? </w:t>
      </w:r>
    </w:p>
    <w:p w14:paraId="6EBA9349" w14:textId="41EBFBB2" w:rsidR="001632B9" w:rsidRPr="007B1D88" w:rsidRDefault="00E23610" w:rsidP="007B1D88">
      <w:pPr>
        <w:spacing w:after="240" w:line="240" w:lineRule="auto"/>
        <w:jc w:val="both"/>
        <w:rPr>
          <w:rFonts w:eastAsia="Times New Roman" w:cstheme="minorHAnsi"/>
          <w:lang w:eastAsia="pl-PL"/>
        </w:rPr>
      </w:pPr>
      <w:r w:rsidRPr="007B1D88">
        <w:rPr>
          <w:rFonts w:eastAsia="Times New Roman" w:cstheme="minorHAnsi"/>
          <w:lang w:eastAsia="pl-PL"/>
        </w:rPr>
        <w:t>W sytuacji, gdy Wnioskodawca</w:t>
      </w:r>
      <w:r w:rsidR="001632B9" w:rsidRPr="007B1D88">
        <w:rPr>
          <w:rFonts w:eastAsia="Times New Roman" w:cstheme="minorHAnsi"/>
          <w:lang w:eastAsia="pl-PL"/>
        </w:rPr>
        <w:t xml:space="preserve"> prowadzi działalność i zatrudnia 1 pracownika na 1/2 etatu, </w:t>
      </w:r>
      <w:r w:rsidRPr="007B1D88">
        <w:rPr>
          <w:rFonts w:eastAsia="Times New Roman" w:cstheme="minorHAnsi"/>
          <w:lang w:eastAsia="pl-PL"/>
        </w:rPr>
        <w:t>może zostać uwzględniony w kalkulacji FTE jako osoba samozatrudniona (FTE=1).</w:t>
      </w:r>
    </w:p>
    <w:p w14:paraId="6AAF7668" w14:textId="0CA7902C" w:rsidR="001632B9" w:rsidRPr="007B1D88" w:rsidRDefault="001632B9"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 xml:space="preserve">Czy do obliczenia stawki jednostkowej należy uwzględnić osoby </w:t>
      </w:r>
      <w:r w:rsidR="000D241C" w:rsidRPr="007B1D88">
        <w:rPr>
          <w:rFonts w:eastAsia="Times New Roman" w:cstheme="minorHAnsi"/>
          <w:b/>
          <w:bCs/>
          <w:lang w:eastAsia="pl-PL"/>
        </w:rPr>
        <w:t>zatrudnione</w:t>
      </w:r>
      <w:r w:rsidRPr="007B1D88">
        <w:rPr>
          <w:rFonts w:eastAsia="Times New Roman" w:cstheme="minorHAnsi"/>
          <w:b/>
          <w:bCs/>
          <w:lang w:eastAsia="pl-PL"/>
        </w:rPr>
        <w:t xml:space="preserve"> w oparciu </w:t>
      </w:r>
      <w:r w:rsidR="000D241C" w:rsidRPr="007B1D88">
        <w:rPr>
          <w:rFonts w:eastAsia="Times New Roman" w:cstheme="minorHAnsi"/>
          <w:b/>
          <w:bCs/>
          <w:lang w:eastAsia="pl-PL"/>
        </w:rPr>
        <w:t>o</w:t>
      </w:r>
      <w:r w:rsidRPr="007B1D88">
        <w:rPr>
          <w:rFonts w:eastAsia="Times New Roman" w:cstheme="minorHAnsi"/>
          <w:b/>
          <w:bCs/>
          <w:lang w:eastAsia="pl-PL"/>
        </w:rPr>
        <w:t xml:space="preserve"> umowy cywilno-prawne</w:t>
      </w:r>
    </w:p>
    <w:p w14:paraId="429B2C67" w14:textId="74DC52FF" w:rsidR="001632B9" w:rsidRPr="007B1D88" w:rsidRDefault="001632B9" w:rsidP="007B1D88">
      <w:pPr>
        <w:pStyle w:val="NormalnyWeb"/>
        <w:spacing w:before="0" w:beforeAutospacing="0" w:after="240" w:afterAutospacing="0"/>
        <w:jc w:val="both"/>
        <w:rPr>
          <w:rFonts w:asciiTheme="minorHAnsi" w:hAnsiTheme="minorHAnsi" w:cstheme="minorHAnsi"/>
          <w:sz w:val="22"/>
          <w:szCs w:val="22"/>
        </w:rPr>
      </w:pPr>
      <w:r w:rsidRPr="007B1D88">
        <w:rPr>
          <w:rFonts w:asciiTheme="minorHAnsi" w:hAnsiTheme="minorHAnsi" w:cstheme="minorHAnsi"/>
          <w:sz w:val="22"/>
          <w:szCs w:val="22"/>
        </w:rPr>
        <w:t xml:space="preserve">Nie. Na potrzeby określenia stawki jednostkowej należy uwzględnić liczbę osób związanych </w:t>
      </w:r>
      <w:r w:rsidR="00E23610" w:rsidRPr="007B1D88">
        <w:rPr>
          <w:rFonts w:asciiTheme="minorHAnsi" w:hAnsiTheme="minorHAnsi" w:cstheme="minorHAnsi"/>
          <w:sz w:val="22"/>
          <w:szCs w:val="22"/>
        </w:rPr>
        <w:br/>
      </w:r>
      <w:r w:rsidRPr="007B1D88">
        <w:rPr>
          <w:rFonts w:asciiTheme="minorHAnsi" w:hAnsiTheme="minorHAnsi" w:cstheme="minorHAnsi"/>
          <w:sz w:val="22"/>
          <w:szCs w:val="22"/>
        </w:rPr>
        <w:t>z przedsiębiorcą stosunkiem pracy w przeliczeniu na pełne etaty zgodnie z ustawowym czasem pracy.</w:t>
      </w:r>
    </w:p>
    <w:p w14:paraId="63D56239" w14:textId="22287C09" w:rsidR="00DE75BA" w:rsidRPr="007B1D88" w:rsidRDefault="00DE75BA"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Czy 30% spadek obrotów</w:t>
      </w:r>
      <w:r w:rsidR="00572A34" w:rsidRPr="007B1D88">
        <w:rPr>
          <w:rFonts w:eastAsia="Times New Roman" w:cstheme="minorHAnsi"/>
          <w:b/>
          <w:bCs/>
          <w:lang w:eastAsia="pl-PL"/>
        </w:rPr>
        <w:t xml:space="preserve"> (przychodów ze sprzedaży)</w:t>
      </w:r>
      <w:r w:rsidRPr="007B1D88">
        <w:rPr>
          <w:rFonts w:eastAsia="Times New Roman" w:cstheme="minorHAnsi"/>
          <w:b/>
          <w:bCs/>
          <w:lang w:eastAsia="pl-PL"/>
        </w:rPr>
        <w:t xml:space="preserve"> musi nastąpić w każdym z dwóch wskazanych miesięcy?</w:t>
      </w:r>
    </w:p>
    <w:p w14:paraId="5B44F7A9" w14:textId="1D39AC23" w:rsidR="001632B9" w:rsidRPr="007B1D88" w:rsidRDefault="00855BFC" w:rsidP="007B1D88">
      <w:pPr>
        <w:spacing w:after="240" w:line="240" w:lineRule="auto"/>
        <w:jc w:val="both"/>
        <w:rPr>
          <w:rFonts w:eastAsia="Times New Roman" w:cstheme="minorHAnsi"/>
          <w:lang w:eastAsia="pl-PL"/>
        </w:rPr>
      </w:pPr>
      <w:r w:rsidRPr="007B1D88">
        <w:rPr>
          <w:rFonts w:eastAsia="Times New Roman" w:cstheme="minorHAnsi"/>
          <w:lang w:eastAsia="pl-PL"/>
        </w:rPr>
        <w:t>S</w:t>
      </w:r>
      <w:r w:rsidR="002D6A1B" w:rsidRPr="007B1D88">
        <w:rPr>
          <w:rFonts w:eastAsia="Times New Roman" w:cstheme="minorHAnsi"/>
          <w:lang w:eastAsia="pl-PL"/>
        </w:rPr>
        <w:t xml:space="preserve">padek </w:t>
      </w:r>
      <w:r w:rsidR="00572A34" w:rsidRPr="007B1D88">
        <w:rPr>
          <w:rFonts w:eastAsia="Times New Roman" w:cstheme="minorHAnsi"/>
          <w:lang w:eastAsia="pl-PL"/>
        </w:rPr>
        <w:t>przychodów ze sprzedaży</w:t>
      </w:r>
      <w:r w:rsidR="002D6A1B" w:rsidRPr="007B1D88">
        <w:rPr>
          <w:rFonts w:eastAsia="Times New Roman" w:cstheme="minorHAnsi"/>
          <w:lang w:eastAsia="pl-PL"/>
        </w:rPr>
        <w:t xml:space="preserve"> o 30% musi być wykazany w każdym z obu wybranych miesięcy, nie ma możliwości wyciągania średniej</w:t>
      </w:r>
      <w:r w:rsidRPr="007B1D88">
        <w:rPr>
          <w:rFonts w:eastAsia="Times New Roman" w:cstheme="minorHAnsi"/>
          <w:lang w:eastAsia="pl-PL"/>
        </w:rPr>
        <w:t>.</w:t>
      </w:r>
    </w:p>
    <w:sectPr w:rsidR="001632B9" w:rsidRPr="007B1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7E0"/>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E455B7"/>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1546DB"/>
    <w:multiLevelType w:val="hybridMultilevel"/>
    <w:tmpl w:val="100ACDC2"/>
    <w:lvl w:ilvl="0" w:tplc="9E22F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473ED1"/>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E31E27"/>
    <w:multiLevelType w:val="hybridMultilevel"/>
    <w:tmpl w:val="21DC472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nsid w:val="29A56A0B"/>
    <w:multiLevelType w:val="hybridMultilevel"/>
    <w:tmpl w:val="D096A0CA"/>
    <w:lvl w:ilvl="0" w:tplc="EAA09DC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20364D"/>
    <w:multiLevelType w:val="hybridMultilevel"/>
    <w:tmpl w:val="FD8476C8"/>
    <w:lvl w:ilvl="0" w:tplc="1D2A4B1C">
      <w:start w:val="1"/>
      <w:numFmt w:val="decimal"/>
      <w:pStyle w:val="Spistreci1"/>
      <w:lvlText w:val="%1."/>
      <w:lvlJc w:val="left"/>
      <w:pPr>
        <w:ind w:left="720" w:hanging="360"/>
      </w:pPr>
      <w:rPr>
        <w:rFonts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BA2E51"/>
    <w:multiLevelType w:val="hybridMultilevel"/>
    <w:tmpl w:val="2A1CC1F4"/>
    <w:lvl w:ilvl="0" w:tplc="253AAB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1E26C1"/>
    <w:multiLevelType w:val="hybridMultilevel"/>
    <w:tmpl w:val="4FCCBC94"/>
    <w:lvl w:ilvl="0" w:tplc="F6F2406E">
      <w:start w:val="1"/>
      <w:numFmt w:val="decimal"/>
      <w:lvlText w:val="%1."/>
      <w:lvlJc w:val="left"/>
      <w:pPr>
        <w:ind w:left="720" w:hanging="360"/>
      </w:pPr>
      <w:rPr>
        <w:rFonts w:ascii="Cambria" w:hAnsi="Cambria"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0F2741"/>
    <w:multiLevelType w:val="hybridMultilevel"/>
    <w:tmpl w:val="E82C662E"/>
    <w:lvl w:ilvl="0" w:tplc="124E8D50">
      <w:start w:val="1"/>
      <w:numFmt w:val="decimal"/>
      <w:lvlText w:val="%1."/>
      <w:lvlJc w:val="left"/>
      <w:pPr>
        <w:ind w:left="765" w:hanging="360"/>
      </w:pPr>
      <w:rPr>
        <w:rFonts w:asciiTheme="majorHAnsi" w:eastAsia="Times New Roman" w:hAnsiTheme="majorHAnsi" w:cs="Times New Roman"/>
      </w:rPr>
    </w:lvl>
    <w:lvl w:ilvl="1" w:tplc="5F2A518C">
      <w:start w:val="1"/>
      <w:numFmt w:val="lowerLetter"/>
      <w:lvlText w:val="%2)"/>
      <w:lvlJc w:val="left"/>
      <w:pPr>
        <w:ind w:left="1485" w:hanging="360"/>
      </w:pPr>
      <w:rPr>
        <w:rFonts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6FDC2BF5"/>
    <w:multiLevelType w:val="hybridMultilevel"/>
    <w:tmpl w:val="D096A0CA"/>
    <w:lvl w:ilvl="0" w:tplc="EAA09DC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9A92401"/>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7"/>
  </w:num>
  <w:num w:numId="5">
    <w:abstractNumId w:val="2"/>
  </w:num>
  <w:num w:numId="6">
    <w:abstractNumId w:val="6"/>
  </w:num>
  <w:num w:numId="7">
    <w:abstractNumId w:val="6"/>
  </w:num>
  <w:num w:numId="8">
    <w:abstractNumId w:val="3"/>
  </w:num>
  <w:num w:numId="9">
    <w:abstractNumId w:val="11"/>
  </w:num>
  <w:num w:numId="10">
    <w:abstractNumId w:val="1"/>
  </w:num>
  <w:num w:numId="11">
    <w:abstractNumId w:val="0"/>
  </w:num>
  <w:num w:numId="12">
    <w:abstractNumId w:val="10"/>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33"/>
    <w:rsid w:val="00001AAD"/>
    <w:rsid w:val="00026846"/>
    <w:rsid w:val="000D241C"/>
    <w:rsid w:val="000E2FCE"/>
    <w:rsid w:val="001632B9"/>
    <w:rsid w:val="0022665B"/>
    <w:rsid w:val="002D6A1B"/>
    <w:rsid w:val="002F02E9"/>
    <w:rsid w:val="002F3291"/>
    <w:rsid w:val="00322885"/>
    <w:rsid w:val="003B4333"/>
    <w:rsid w:val="00443BE5"/>
    <w:rsid w:val="00476658"/>
    <w:rsid w:val="004B53AC"/>
    <w:rsid w:val="00513ECE"/>
    <w:rsid w:val="005233F4"/>
    <w:rsid w:val="00572A34"/>
    <w:rsid w:val="006237FC"/>
    <w:rsid w:val="007B1D88"/>
    <w:rsid w:val="008227A7"/>
    <w:rsid w:val="008275A1"/>
    <w:rsid w:val="00844B9D"/>
    <w:rsid w:val="00852652"/>
    <w:rsid w:val="00855BFC"/>
    <w:rsid w:val="00862713"/>
    <w:rsid w:val="00977BB3"/>
    <w:rsid w:val="009F2177"/>
    <w:rsid w:val="00C02308"/>
    <w:rsid w:val="00C914C8"/>
    <w:rsid w:val="00D606C6"/>
    <w:rsid w:val="00DB3FCC"/>
    <w:rsid w:val="00DE63CE"/>
    <w:rsid w:val="00DE75BA"/>
    <w:rsid w:val="00E23610"/>
    <w:rsid w:val="00E23C0A"/>
    <w:rsid w:val="00EC2C64"/>
    <w:rsid w:val="00F10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5233F4"/>
    <w:pPr>
      <w:keepNext/>
      <w:spacing w:after="0" w:line="240" w:lineRule="auto"/>
      <w:jc w:val="center"/>
      <w:outlineLvl w:val="0"/>
    </w:pPr>
    <w:rPr>
      <w:b/>
      <w:bCs/>
      <w:kern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NagwkiCambria11pkt">
    <w:name w:val="Styl +Nagłówki (Cambria) 11 pkt"/>
    <w:basedOn w:val="Domylnaczcionkaakapitu"/>
    <w:qFormat/>
    <w:rsid w:val="002F3291"/>
    <w:rPr>
      <w:rFonts w:asciiTheme="majorHAnsi" w:hAnsiTheme="majorHAnsi"/>
      <w:b/>
      <w:color w:val="auto"/>
      <w:sz w:val="22"/>
    </w:rPr>
  </w:style>
  <w:style w:type="paragraph" w:customStyle="1" w:styleId="NagwekRegulamin">
    <w:name w:val="Nagłówek Regulamin"/>
    <w:basedOn w:val="Nagwek1"/>
    <w:qFormat/>
    <w:rsid w:val="002F3291"/>
    <w:rPr>
      <w:b w:val="0"/>
      <w:color w:val="000000"/>
      <w:lang w:eastAsia="pl-PL"/>
    </w:rPr>
  </w:style>
  <w:style w:type="character" w:customStyle="1" w:styleId="Nagwek1Znak">
    <w:name w:val="Nagłówek 1 Znak"/>
    <w:link w:val="Nagwek1"/>
    <w:uiPriority w:val="99"/>
    <w:rsid w:val="005233F4"/>
    <w:rPr>
      <w:b/>
      <w:bCs/>
      <w:kern w:val="32"/>
      <w:szCs w:val="32"/>
      <w:lang w:val="x-none" w:eastAsia="x-none"/>
    </w:rPr>
  </w:style>
  <w:style w:type="paragraph" w:customStyle="1" w:styleId="spistreci">
    <w:name w:val="spis treści"/>
    <w:basedOn w:val="Nagwek1"/>
    <w:qFormat/>
    <w:rsid w:val="00322885"/>
    <w:rPr>
      <w:rFonts w:eastAsia="Times New Roman" w:cs="Times New Roman"/>
      <w:bCs w:val="0"/>
      <w:szCs w:val="22"/>
    </w:rPr>
  </w:style>
  <w:style w:type="paragraph" w:styleId="Spistreci1">
    <w:name w:val="toc 1"/>
    <w:basedOn w:val="Normalny"/>
    <w:next w:val="Normalny"/>
    <w:autoRedefine/>
    <w:uiPriority w:val="39"/>
    <w:qFormat/>
    <w:rsid w:val="009F2177"/>
    <w:pPr>
      <w:numPr>
        <w:numId w:val="7"/>
      </w:numPr>
      <w:tabs>
        <w:tab w:val="right" w:pos="709"/>
        <w:tab w:val="right" w:leader="dot" w:pos="9062"/>
      </w:tabs>
      <w:spacing w:after="100" w:line="360" w:lineRule="auto"/>
    </w:pPr>
    <w:rPr>
      <w:rFonts w:ascii="Cambria" w:eastAsia="Times New Roman" w:hAnsi="Cambria" w:cs="Times New Roman"/>
      <w:sz w:val="24"/>
      <w:szCs w:val="24"/>
      <w:lang w:eastAsia="pl-PL"/>
    </w:rPr>
  </w:style>
  <w:style w:type="paragraph" w:styleId="NormalnyWeb">
    <w:name w:val="Normal (Web)"/>
    <w:basedOn w:val="Normalny"/>
    <w:uiPriority w:val="99"/>
    <w:semiHidden/>
    <w:unhideWhenUsed/>
    <w:rsid w:val="001632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241C"/>
    <w:rPr>
      <w:color w:val="0563C1" w:themeColor="hyperlink"/>
      <w:u w:val="single"/>
    </w:rPr>
  </w:style>
  <w:style w:type="character" w:customStyle="1" w:styleId="Nierozpoznanawzmianka1">
    <w:name w:val="Nierozpoznana wzmianka1"/>
    <w:basedOn w:val="Domylnaczcionkaakapitu"/>
    <w:uiPriority w:val="99"/>
    <w:semiHidden/>
    <w:unhideWhenUsed/>
    <w:rsid w:val="000D241C"/>
    <w:rPr>
      <w:color w:val="605E5C"/>
      <w:shd w:val="clear" w:color="auto" w:fill="E1DFDD"/>
    </w:rPr>
  </w:style>
  <w:style w:type="paragraph" w:styleId="Akapitzlist">
    <w:name w:val="List Paragraph"/>
    <w:aliases w:val="Akapit z listą BS,List Paragraph,Numerowanie,Wykres,Kolorowa lista — akcent 11"/>
    <w:basedOn w:val="Normalny"/>
    <w:link w:val="AkapitzlistZnak"/>
    <w:uiPriority w:val="34"/>
    <w:qFormat/>
    <w:rsid w:val="004B53AC"/>
    <w:pPr>
      <w:ind w:left="720"/>
      <w:contextualSpacing/>
    </w:pPr>
  </w:style>
  <w:style w:type="character" w:styleId="Pogrubienie">
    <w:name w:val="Strong"/>
    <w:basedOn w:val="Domylnaczcionkaakapitu"/>
    <w:uiPriority w:val="22"/>
    <w:qFormat/>
    <w:rsid w:val="00977BB3"/>
    <w:rPr>
      <w:b/>
      <w:bCs/>
    </w:rPr>
  </w:style>
  <w:style w:type="character" w:customStyle="1" w:styleId="AkapitzlistZnak">
    <w:name w:val="Akapit z listą Znak"/>
    <w:aliases w:val="Akapit z listą BS Znak,List Paragraph Znak,Numerowanie Znak,Wykres Znak,Kolorowa lista — akcent 11 Znak"/>
    <w:link w:val="Akapitzlist"/>
    <w:uiPriority w:val="34"/>
    <w:qFormat/>
    <w:rsid w:val="002D6A1B"/>
  </w:style>
  <w:style w:type="character" w:styleId="UyteHipercze">
    <w:name w:val="FollowedHyperlink"/>
    <w:basedOn w:val="Domylnaczcionkaakapitu"/>
    <w:uiPriority w:val="99"/>
    <w:semiHidden/>
    <w:unhideWhenUsed/>
    <w:rsid w:val="00572A3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5233F4"/>
    <w:pPr>
      <w:keepNext/>
      <w:spacing w:after="0" w:line="240" w:lineRule="auto"/>
      <w:jc w:val="center"/>
      <w:outlineLvl w:val="0"/>
    </w:pPr>
    <w:rPr>
      <w:b/>
      <w:bCs/>
      <w:kern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NagwkiCambria11pkt">
    <w:name w:val="Styl +Nagłówki (Cambria) 11 pkt"/>
    <w:basedOn w:val="Domylnaczcionkaakapitu"/>
    <w:qFormat/>
    <w:rsid w:val="002F3291"/>
    <w:rPr>
      <w:rFonts w:asciiTheme="majorHAnsi" w:hAnsiTheme="majorHAnsi"/>
      <w:b/>
      <w:color w:val="auto"/>
      <w:sz w:val="22"/>
    </w:rPr>
  </w:style>
  <w:style w:type="paragraph" w:customStyle="1" w:styleId="NagwekRegulamin">
    <w:name w:val="Nagłówek Regulamin"/>
    <w:basedOn w:val="Nagwek1"/>
    <w:qFormat/>
    <w:rsid w:val="002F3291"/>
    <w:rPr>
      <w:b w:val="0"/>
      <w:color w:val="000000"/>
      <w:lang w:eastAsia="pl-PL"/>
    </w:rPr>
  </w:style>
  <w:style w:type="character" w:customStyle="1" w:styleId="Nagwek1Znak">
    <w:name w:val="Nagłówek 1 Znak"/>
    <w:link w:val="Nagwek1"/>
    <w:uiPriority w:val="99"/>
    <w:rsid w:val="005233F4"/>
    <w:rPr>
      <w:b/>
      <w:bCs/>
      <w:kern w:val="32"/>
      <w:szCs w:val="32"/>
      <w:lang w:val="x-none" w:eastAsia="x-none"/>
    </w:rPr>
  </w:style>
  <w:style w:type="paragraph" w:customStyle="1" w:styleId="spistreci">
    <w:name w:val="spis treści"/>
    <w:basedOn w:val="Nagwek1"/>
    <w:qFormat/>
    <w:rsid w:val="00322885"/>
    <w:rPr>
      <w:rFonts w:eastAsia="Times New Roman" w:cs="Times New Roman"/>
      <w:bCs w:val="0"/>
      <w:szCs w:val="22"/>
    </w:rPr>
  </w:style>
  <w:style w:type="paragraph" w:styleId="Spistreci1">
    <w:name w:val="toc 1"/>
    <w:basedOn w:val="Normalny"/>
    <w:next w:val="Normalny"/>
    <w:autoRedefine/>
    <w:uiPriority w:val="39"/>
    <w:qFormat/>
    <w:rsid w:val="009F2177"/>
    <w:pPr>
      <w:numPr>
        <w:numId w:val="7"/>
      </w:numPr>
      <w:tabs>
        <w:tab w:val="right" w:pos="709"/>
        <w:tab w:val="right" w:leader="dot" w:pos="9062"/>
      </w:tabs>
      <w:spacing w:after="100" w:line="360" w:lineRule="auto"/>
    </w:pPr>
    <w:rPr>
      <w:rFonts w:ascii="Cambria" w:eastAsia="Times New Roman" w:hAnsi="Cambria" w:cs="Times New Roman"/>
      <w:sz w:val="24"/>
      <w:szCs w:val="24"/>
      <w:lang w:eastAsia="pl-PL"/>
    </w:rPr>
  </w:style>
  <w:style w:type="paragraph" w:styleId="NormalnyWeb">
    <w:name w:val="Normal (Web)"/>
    <w:basedOn w:val="Normalny"/>
    <w:uiPriority w:val="99"/>
    <w:semiHidden/>
    <w:unhideWhenUsed/>
    <w:rsid w:val="001632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241C"/>
    <w:rPr>
      <w:color w:val="0563C1" w:themeColor="hyperlink"/>
      <w:u w:val="single"/>
    </w:rPr>
  </w:style>
  <w:style w:type="character" w:customStyle="1" w:styleId="Nierozpoznanawzmianka1">
    <w:name w:val="Nierozpoznana wzmianka1"/>
    <w:basedOn w:val="Domylnaczcionkaakapitu"/>
    <w:uiPriority w:val="99"/>
    <w:semiHidden/>
    <w:unhideWhenUsed/>
    <w:rsid w:val="000D241C"/>
    <w:rPr>
      <w:color w:val="605E5C"/>
      <w:shd w:val="clear" w:color="auto" w:fill="E1DFDD"/>
    </w:rPr>
  </w:style>
  <w:style w:type="paragraph" w:styleId="Akapitzlist">
    <w:name w:val="List Paragraph"/>
    <w:aliases w:val="Akapit z listą BS,List Paragraph,Numerowanie,Wykres,Kolorowa lista — akcent 11"/>
    <w:basedOn w:val="Normalny"/>
    <w:link w:val="AkapitzlistZnak"/>
    <w:uiPriority w:val="34"/>
    <w:qFormat/>
    <w:rsid w:val="004B53AC"/>
    <w:pPr>
      <w:ind w:left="720"/>
      <w:contextualSpacing/>
    </w:pPr>
  </w:style>
  <w:style w:type="character" w:styleId="Pogrubienie">
    <w:name w:val="Strong"/>
    <w:basedOn w:val="Domylnaczcionkaakapitu"/>
    <w:uiPriority w:val="22"/>
    <w:qFormat/>
    <w:rsid w:val="00977BB3"/>
    <w:rPr>
      <w:b/>
      <w:bCs/>
    </w:rPr>
  </w:style>
  <w:style w:type="character" w:customStyle="1" w:styleId="AkapitzlistZnak">
    <w:name w:val="Akapit z listą Znak"/>
    <w:aliases w:val="Akapit z listą BS Znak,List Paragraph Znak,Numerowanie Znak,Wykres Znak,Kolorowa lista — akcent 11 Znak"/>
    <w:link w:val="Akapitzlist"/>
    <w:uiPriority w:val="34"/>
    <w:qFormat/>
    <w:rsid w:val="002D6A1B"/>
  </w:style>
  <w:style w:type="character" w:styleId="UyteHipercze">
    <w:name w:val="FollowedHyperlink"/>
    <w:basedOn w:val="Domylnaczcionkaakapitu"/>
    <w:uiPriority w:val="99"/>
    <w:semiHidden/>
    <w:unhideWhenUsed/>
    <w:rsid w:val="00572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3026">
      <w:bodyDiv w:val="1"/>
      <w:marLeft w:val="0"/>
      <w:marRight w:val="0"/>
      <w:marTop w:val="0"/>
      <w:marBottom w:val="0"/>
      <w:divBdr>
        <w:top w:val="none" w:sz="0" w:space="0" w:color="auto"/>
        <w:left w:val="none" w:sz="0" w:space="0" w:color="auto"/>
        <w:bottom w:val="none" w:sz="0" w:space="0" w:color="auto"/>
        <w:right w:val="none" w:sz="0" w:space="0" w:color="auto"/>
      </w:divBdr>
    </w:div>
    <w:div w:id="1656297788">
      <w:bodyDiv w:val="1"/>
      <w:marLeft w:val="0"/>
      <w:marRight w:val="0"/>
      <w:marTop w:val="0"/>
      <w:marBottom w:val="0"/>
      <w:divBdr>
        <w:top w:val="none" w:sz="0" w:space="0" w:color="auto"/>
        <w:left w:val="none" w:sz="0" w:space="0" w:color="auto"/>
        <w:bottom w:val="none" w:sz="0" w:space="0" w:color="auto"/>
        <w:right w:val="none" w:sz="0" w:space="0" w:color="auto"/>
      </w:divBdr>
      <w:divsChild>
        <w:div w:id="751390265">
          <w:marLeft w:val="0"/>
          <w:marRight w:val="0"/>
          <w:marTop w:val="0"/>
          <w:marBottom w:val="0"/>
          <w:divBdr>
            <w:top w:val="none" w:sz="0" w:space="0" w:color="auto"/>
            <w:left w:val="none" w:sz="0" w:space="0" w:color="auto"/>
            <w:bottom w:val="none" w:sz="0" w:space="0" w:color="auto"/>
            <w:right w:val="none" w:sz="0" w:space="0" w:color="auto"/>
          </w:divBdr>
        </w:div>
        <w:div w:id="1873108929">
          <w:marLeft w:val="0"/>
          <w:marRight w:val="0"/>
          <w:marTop w:val="0"/>
          <w:marBottom w:val="0"/>
          <w:divBdr>
            <w:top w:val="none" w:sz="0" w:space="0" w:color="auto"/>
            <w:left w:val="none" w:sz="0" w:space="0" w:color="auto"/>
            <w:bottom w:val="none" w:sz="0" w:space="0" w:color="auto"/>
            <w:right w:val="none" w:sz="0" w:space="0" w:color="auto"/>
          </w:divBdr>
        </w:div>
        <w:div w:id="598832476">
          <w:marLeft w:val="0"/>
          <w:marRight w:val="0"/>
          <w:marTop w:val="0"/>
          <w:marBottom w:val="0"/>
          <w:divBdr>
            <w:top w:val="none" w:sz="0" w:space="0" w:color="auto"/>
            <w:left w:val="none" w:sz="0" w:space="0" w:color="auto"/>
            <w:bottom w:val="none" w:sz="0" w:space="0" w:color="auto"/>
            <w:right w:val="none" w:sz="0" w:space="0" w:color="auto"/>
          </w:divBdr>
        </w:div>
      </w:divsChild>
    </w:div>
    <w:div w:id="1694725258">
      <w:bodyDiv w:val="1"/>
      <w:marLeft w:val="0"/>
      <w:marRight w:val="0"/>
      <w:marTop w:val="0"/>
      <w:marBottom w:val="0"/>
      <w:divBdr>
        <w:top w:val="none" w:sz="0" w:space="0" w:color="auto"/>
        <w:left w:val="none" w:sz="0" w:space="0" w:color="auto"/>
        <w:bottom w:val="none" w:sz="0" w:space="0" w:color="auto"/>
        <w:right w:val="none" w:sz="0" w:space="0" w:color="auto"/>
      </w:divBdr>
      <w:divsChild>
        <w:div w:id="1193030075">
          <w:marLeft w:val="0"/>
          <w:marRight w:val="0"/>
          <w:marTop w:val="0"/>
          <w:marBottom w:val="0"/>
          <w:divBdr>
            <w:top w:val="none" w:sz="0" w:space="0" w:color="auto"/>
            <w:left w:val="none" w:sz="0" w:space="0" w:color="auto"/>
            <w:bottom w:val="none" w:sz="0" w:space="0" w:color="auto"/>
            <w:right w:val="none" w:sz="0" w:space="0" w:color="auto"/>
          </w:divBdr>
          <w:divsChild>
            <w:div w:id="1574657256">
              <w:marLeft w:val="0"/>
              <w:marRight w:val="0"/>
              <w:marTop w:val="0"/>
              <w:marBottom w:val="0"/>
              <w:divBdr>
                <w:top w:val="none" w:sz="0" w:space="0" w:color="auto"/>
                <w:left w:val="none" w:sz="0" w:space="0" w:color="auto"/>
                <w:bottom w:val="none" w:sz="0" w:space="0" w:color="auto"/>
                <w:right w:val="none" w:sz="0" w:space="0" w:color="auto"/>
              </w:divBdr>
              <w:divsChild>
                <w:div w:id="1403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brotowe.rpo-swietokrzy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otowe.rpo-swietokrzyski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7586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Łącka, Małgorzata</dc:creator>
  <cp:lastModifiedBy>Użytkownik systemu Windows</cp:lastModifiedBy>
  <cp:revision>2</cp:revision>
  <dcterms:created xsi:type="dcterms:W3CDTF">2020-08-18T14:33:00Z</dcterms:created>
  <dcterms:modified xsi:type="dcterms:W3CDTF">2020-08-18T14:33:00Z</dcterms:modified>
</cp:coreProperties>
</file>